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1E296">
      <w:pPr>
        <w:keepNext/>
        <w:keepLines/>
        <w:widowControl w:val="0"/>
        <w:numPr>
          <w:numId w:val="0"/>
        </w:numPr>
        <w:spacing w:before="100" w:after="100"/>
        <w:jc w:val="center"/>
        <w:outlineLvl w:val="0"/>
        <w:rPr>
          <w:rFonts w:hint="eastAsia" w:ascii="宋体" w:hAnsi="宋体" w:eastAsia="宋体" w:cs="宋体"/>
          <w:b/>
          <w:bCs/>
          <w:color w:val="000000"/>
          <w:kern w:val="44"/>
          <w:sz w:val="32"/>
          <w:szCs w:val="32"/>
          <w:lang w:val="en-US" w:eastAsia="zh-CN" w:bidi="ar-SA"/>
        </w:rPr>
      </w:pPr>
      <w:bookmarkStart w:id="1" w:name="_GoBack"/>
      <w:bookmarkEnd w:id="1"/>
      <w:bookmarkStart w:id="0" w:name="_Toc32268"/>
      <w:r>
        <w:rPr>
          <w:rFonts w:hint="eastAsia" w:ascii="宋体" w:hAnsi="宋体" w:eastAsia="宋体" w:cs="宋体"/>
          <w:b/>
          <w:bCs/>
          <w:color w:val="000000"/>
          <w:kern w:val="44"/>
          <w:sz w:val="32"/>
          <w:szCs w:val="32"/>
          <w:lang w:val="en-US" w:eastAsia="zh-CN" w:bidi="ar-SA"/>
        </w:rPr>
        <w:t>服务需求及技术要求</w:t>
      </w:r>
      <w:bookmarkEnd w:id="0"/>
    </w:p>
    <w:p w14:paraId="1781507E">
      <w:pPr>
        <w:keepNext/>
        <w:keepLines/>
        <w:widowControl w:val="0"/>
        <w:tabs>
          <w:tab w:val="left" w:pos="2730"/>
        </w:tabs>
        <w:wordWrap w:val="0"/>
        <w:autoSpaceDE w:val="0"/>
        <w:autoSpaceDN w:val="0"/>
        <w:adjustRightInd w:val="0"/>
        <w:spacing w:line="440" w:lineRule="exact"/>
        <w:ind w:firstLine="472" w:firstLineChars="196"/>
        <w:jc w:val="left"/>
        <w:outlineLvl w:val="2"/>
        <w:rPr>
          <w:rFonts w:hint="eastAsia"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一、商务要求：</w:t>
      </w:r>
    </w:p>
    <w:tbl>
      <w:tblPr>
        <w:tblStyle w:val="2"/>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782"/>
        <w:gridCol w:w="5779"/>
      </w:tblGrid>
      <w:tr w14:paraId="43D8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3330F503">
            <w:pPr>
              <w:widowControl w:val="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序号</w:t>
            </w:r>
          </w:p>
        </w:tc>
        <w:tc>
          <w:tcPr>
            <w:tcW w:w="1782" w:type="dxa"/>
            <w:vAlign w:val="center"/>
          </w:tcPr>
          <w:p w14:paraId="6DF3A2BF">
            <w:pPr>
              <w:widowControl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条款名称</w:t>
            </w:r>
          </w:p>
        </w:tc>
        <w:tc>
          <w:tcPr>
            <w:tcW w:w="5779" w:type="dxa"/>
            <w:vAlign w:val="center"/>
          </w:tcPr>
          <w:p w14:paraId="554D7D60">
            <w:pPr>
              <w:widowControl w:val="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具体要求内容</w:t>
            </w:r>
          </w:p>
        </w:tc>
      </w:tr>
      <w:tr w14:paraId="4DB6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08" w:type="dxa"/>
            <w:vAlign w:val="center"/>
          </w:tcPr>
          <w:p w14:paraId="1B936D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82" w:type="dxa"/>
            <w:vAlign w:val="center"/>
          </w:tcPr>
          <w:p w14:paraId="48C535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5779" w:type="dxa"/>
            <w:vAlign w:val="center"/>
          </w:tcPr>
          <w:p w14:paraId="22095A2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签订合同后，经采购人验收合格后，一次性付清。</w:t>
            </w:r>
          </w:p>
        </w:tc>
      </w:tr>
      <w:tr w14:paraId="52CA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07F41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82" w:type="dxa"/>
            <w:vAlign w:val="center"/>
          </w:tcPr>
          <w:p w14:paraId="2CD671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地点</w:t>
            </w:r>
          </w:p>
        </w:tc>
        <w:tc>
          <w:tcPr>
            <w:tcW w:w="5779" w:type="dxa"/>
            <w:vAlign w:val="center"/>
          </w:tcPr>
          <w:p w14:paraId="3AD4E58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安庆职业技术学院</w:t>
            </w:r>
          </w:p>
        </w:tc>
      </w:tr>
      <w:tr w14:paraId="3A9F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08" w:type="dxa"/>
            <w:vAlign w:val="center"/>
          </w:tcPr>
          <w:p w14:paraId="20794E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82" w:type="dxa"/>
            <w:vAlign w:val="center"/>
          </w:tcPr>
          <w:p w14:paraId="659F38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期限</w:t>
            </w:r>
          </w:p>
        </w:tc>
        <w:tc>
          <w:tcPr>
            <w:tcW w:w="5779" w:type="dxa"/>
            <w:vAlign w:val="center"/>
          </w:tcPr>
          <w:p w14:paraId="2B8EA3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合同签订后1年，合同期满且经采购人考核合格后，资金落实后可续签下一年合同，最多续签</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 xml:space="preserve">次。 </w:t>
            </w:r>
          </w:p>
        </w:tc>
      </w:tr>
    </w:tbl>
    <w:p w14:paraId="0DFA4F67">
      <w:pPr>
        <w:keepNext/>
        <w:keepLines/>
        <w:widowControl w:val="0"/>
        <w:tabs>
          <w:tab w:val="left" w:pos="2730"/>
        </w:tabs>
        <w:wordWrap w:val="0"/>
        <w:autoSpaceDE w:val="0"/>
        <w:autoSpaceDN w:val="0"/>
        <w:adjustRightInd w:val="0"/>
        <w:spacing w:line="440" w:lineRule="exact"/>
        <w:ind w:firstLine="472" w:firstLineChars="196"/>
        <w:jc w:val="left"/>
        <w:outlineLvl w:val="2"/>
        <w:rPr>
          <w:rFonts w:hint="default" w:ascii="宋体" w:hAnsi="宋体" w:eastAsia="宋体" w:cs="Times New Roman"/>
          <w:b/>
          <w:bCs/>
          <w:color w:val="auto"/>
          <w:kern w:val="0"/>
          <w:sz w:val="24"/>
          <w:szCs w:val="24"/>
          <w:highlight w:val="none"/>
          <w:lang w:val="en-US" w:eastAsia="zh-CN" w:bidi="ar-SA"/>
        </w:rPr>
      </w:pPr>
      <w:r>
        <w:rPr>
          <w:rFonts w:hint="eastAsia" w:ascii="宋体" w:hAnsi="宋体" w:eastAsia="宋体" w:cs="Times New Roman"/>
          <w:b/>
          <w:bCs/>
          <w:color w:val="auto"/>
          <w:kern w:val="0"/>
          <w:sz w:val="24"/>
          <w:szCs w:val="24"/>
          <w:highlight w:val="none"/>
          <w:lang w:val="en-US" w:eastAsia="zh-CN" w:bidi="ar-SA"/>
        </w:rPr>
        <w:t>二、项目需求</w:t>
      </w:r>
    </w:p>
    <w:p w14:paraId="370585C5">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（1）项目概况</w:t>
      </w:r>
    </w:p>
    <w:p w14:paraId="7365EEF6">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本项目目标为实现安庆职业技术学院数据级异地备份，即对学校信息系统数据实现异地备份。建设目标采用购买服务的模式，租用云机房方式，搭建学校核心系统异地备份中心，建立备份中心与学校生产中心的数据容灾备份机制，实现灾难发生后对数据的还原以保证核心系统的运行。</w:t>
      </w:r>
    </w:p>
    <w:p w14:paraId="3E3B42A6">
      <w:pPr>
        <w:widowControl/>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（2）项目需求表</w:t>
      </w:r>
    </w:p>
    <w:tbl>
      <w:tblPr>
        <w:tblStyle w:val="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812"/>
        <w:gridCol w:w="4418"/>
        <w:gridCol w:w="726"/>
        <w:gridCol w:w="1400"/>
      </w:tblGrid>
      <w:tr w14:paraId="7BB3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1" w:type="dxa"/>
            <w:noWrap w:val="0"/>
            <w:vAlign w:val="center"/>
          </w:tcPr>
          <w:p w14:paraId="76082C02">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12" w:type="dxa"/>
            <w:noWrap w:val="0"/>
            <w:vAlign w:val="center"/>
          </w:tcPr>
          <w:p w14:paraId="50EC33C8">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4418" w:type="dxa"/>
            <w:noWrap w:val="0"/>
            <w:vAlign w:val="center"/>
          </w:tcPr>
          <w:p w14:paraId="3ACFE088">
            <w:pPr>
              <w:spacing w:line="276" w:lineRule="auto"/>
              <w:jc w:val="center"/>
              <w:rPr>
                <w:rFonts w:hint="eastAsia" w:ascii="宋体" w:hAnsi="宋体" w:eastAsia="宋体" w:cs="宋体"/>
                <w:sz w:val="24"/>
                <w:szCs w:val="24"/>
              </w:rPr>
            </w:pPr>
            <w:r>
              <w:rPr>
                <w:rFonts w:hint="eastAsia" w:ascii="宋体" w:hAnsi="宋体" w:eastAsia="宋体" w:cs="宋体"/>
                <w:sz w:val="24"/>
                <w:szCs w:val="24"/>
              </w:rPr>
              <w:t>详细描述</w:t>
            </w:r>
          </w:p>
        </w:tc>
        <w:tc>
          <w:tcPr>
            <w:tcW w:w="726" w:type="dxa"/>
            <w:noWrap w:val="0"/>
            <w:vAlign w:val="center"/>
          </w:tcPr>
          <w:p w14:paraId="69CB8C14">
            <w:pPr>
              <w:spacing w:line="276"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00" w:type="dxa"/>
            <w:noWrap w:val="0"/>
            <w:vAlign w:val="center"/>
          </w:tcPr>
          <w:p w14:paraId="566A050B">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单位</w:t>
            </w:r>
          </w:p>
        </w:tc>
      </w:tr>
      <w:tr w14:paraId="00A9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11" w:type="dxa"/>
            <w:noWrap w:val="0"/>
            <w:vAlign w:val="center"/>
          </w:tcPr>
          <w:p w14:paraId="25AC9D36">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12" w:type="dxa"/>
            <w:noWrap w:val="0"/>
            <w:vAlign w:val="center"/>
          </w:tcPr>
          <w:p w14:paraId="77CF3DCE">
            <w:pPr>
              <w:spacing w:line="276" w:lineRule="auto"/>
              <w:jc w:val="center"/>
              <w:rPr>
                <w:rFonts w:hint="eastAsia" w:ascii="宋体" w:hAnsi="宋体" w:eastAsia="宋体" w:cs="宋体"/>
                <w:sz w:val="24"/>
                <w:szCs w:val="24"/>
              </w:rPr>
            </w:pPr>
            <w:r>
              <w:rPr>
                <w:rFonts w:hint="eastAsia" w:ascii="宋体" w:hAnsi="宋体" w:eastAsia="宋体" w:cs="宋体"/>
                <w:sz w:val="24"/>
                <w:szCs w:val="24"/>
              </w:rPr>
              <w:t>云备份服务</w:t>
            </w:r>
          </w:p>
        </w:tc>
        <w:tc>
          <w:tcPr>
            <w:tcW w:w="4418" w:type="dxa"/>
            <w:noWrap w:val="0"/>
            <w:vAlign w:val="center"/>
          </w:tcPr>
          <w:p w14:paraId="7A51154D">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实现核心系统云备份</w:t>
            </w:r>
          </w:p>
        </w:tc>
        <w:tc>
          <w:tcPr>
            <w:tcW w:w="726" w:type="dxa"/>
            <w:noWrap w:val="0"/>
            <w:vAlign w:val="center"/>
          </w:tcPr>
          <w:p w14:paraId="6D481A5A">
            <w:pPr>
              <w:spacing w:line="276"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00" w:type="dxa"/>
            <w:noWrap w:val="0"/>
            <w:vAlign w:val="center"/>
          </w:tcPr>
          <w:p w14:paraId="12114533">
            <w:pPr>
              <w:spacing w:line="276" w:lineRule="auto"/>
              <w:jc w:val="center"/>
              <w:rPr>
                <w:rFonts w:hint="eastAsia" w:ascii="宋体" w:hAnsi="宋体" w:eastAsia="宋体" w:cs="宋体"/>
                <w:sz w:val="24"/>
                <w:szCs w:val="24"/>
              </w:rPr>
            </w:pPr>
            <w:r>
              <w:rPr>
                <w:rFonts w:hint="eastAsia" w:ascii="宋体" w:hAnsi="宋体" w:eastAsia="宋体" w:cs="宋体"/>
                <w:sz w:val="24"/>
                <w:szCs w:val="24"/>
              </w:rPr>
              <w:t>套</w:t>
            </w:r>
          </w:p>
        </w:tc>
      </w:tr>
      <w:tr w14:paraId="3CF7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1" w:type="dxa"/>
            <w:noWrap w:val="0"/>
            <w:vAlign w:val="center"/>
          </w:tcPr>
          <w:p w14:paraId="3559B150">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812" w:type="dxa"/>
            <w:noWrap w:val="0"/>
            <w:vAlign w:val="center"/>
          </w:tcPr>
          <w:p w14:paraId="3B04C0CF">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备份线路</w:t>
            </w:r>
          </w:p>
        </w:tc>
        <w:tc>
          <w:tcPr>
            <w:tcW w:w="4418" w:type="dxa"/>
            <w:noWrap w:val="0"/>
            <w:vAlign w:val="center"/>
          </w:tcPr>
          <w:p w14:paraId="40BE9E5A">
            <w:pPr>
              <w:widowControl/>
              <w:spacing w:line="276" w:lineRule="auto"/>
              <w:jc w:val="center"/>
              <w:rPr>
                <w:rFonts w:hint="eastAsia" w:ascii="宋体" w:hAnsi="宋体" w:eastAsia="宋体" w:cs="宋体"/>
                <w:kern w:val="0"/>
                <w:sz w:val="24"/>
                <w:szCs w:val="24"/>
              </w:rPr>
            </w:pPr>
            <w:r>
              <w:rPr>
                <w:rFonts w:hint="eastAsia" w:ascii="宋体" w:hAnsi="宋体" w:eastAsia="宋体" w:cs="宋体"/>
                <w:color w:val="000000"/>
                <w:kern w:val="0"/>
                <w:sz w:val="24"/>
                <w:szCs w:val="24"/>
              </w:rPr>
              <w:t>提供保障云备份的专线，由学校数据中心连接至备份中心，专线专用</w:t>
            </w:r>
          </w:p>
        </w:tc>
        <w:tc>
          <w:tcPr>
            <w:tcW w:w="726" w:type="dxa"/>
            <w:noWrap w:val="0"/>
            <w:vAlign w:val="center"/>
          </w:tcPr>
          <w:p w14:paraId="2A8BA8DB">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00" w:type="dxa"/>
            <w:noWrap w:val="0"/>
            <w:vAlign w:val="center"/>
          </w:tcPr>
          <w:p w14:paraId="1BF2AA14">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条</w:t>
            </w:r>
          </w:p>
        </w:tc>
      </w:tr>
      <w:tr w14:paraId="676A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1" w:type="dxa"/>
            <w:noWrap w:val="0"/>
            <w:vAlign w:val="center"/>
          </w:tcPr>
          <w:p w14:paraId="1C2D661D">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812" w:type="dxa"/>
            <w:noWrap w:val="0"/>
            <w:vAlign w:val="center"/>
          </w:tcPr>
          <w:p w14:paraId="522B8B0F">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云备份服务器</w:t>
            </w:r>
          </w:p>
        </w:tc>
        <w:tc>
          <w:tcPr>
            <w:tcW w:w="4418" w:type="dxa"/>
            <w:noWrap w:val="0"/>
            <w:vAlign w:val="center"/>
          </w:tcPr>
          <w:p w14:paraId="341DEA8E">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异地备份主机</w:t>
            </w:r>
          </w:p>
        </w:tc>
        <w:tc>
          <w:tcPr>
            <w:tcW w:w="726" w:type="dxa"/>
            <w:noWrap w:val="0"/>
            <w:vAlign w:val="center"/>
          </w:tcPr>
          <w:p w14:paraId="5B00DA7F">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00" w:type="dxa"/>
            <w:noWrap w:val="0"/>
            <w:vAlign w:val="center"/>
          </w:tcPr>
          <w:p w14:paraId="70F66B5D">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r>
      <w:tr w14:paraId="293B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1" w:type="dxa"/>
            <w:noWrap w:val="0"/>
            <w:vAlign w:val="center"/>
          </w:tcPr>
          <w:p w14:paraId="28419958">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812" w:type="dxa"/>
            <w:noWrap w:val="0"/>
            <w:vAlign w:val="center"/>
          </w:tcPr>
          <w:p w14:paraId="5A6E8698">
            <w:pPr>
              <w:widowControl/>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备份存储空间</w:t>
            </w:r>
          </w:p>
        </w:tc>
        <w:tc>
          <w:tcPr>
            <w:tcW w:w="4418" w:type="dxa"/>
            <w:noWrap w:val="0"/>
            <w:vAlign w:val="center"/>
          </w:tcPr>
          <w:p w14:paraId="3E386D26">
            <w:pPr>
              <w:widowControl/>
              <w:spacing w:line="276" w:lineRule="auto"/>
              <w:jc w:val="center"/>
              <w:rPr>
                <w:rFonts w:hint="eastAsia" w:ascii="宋体" w:hAnsi="宋体" w:eastAsia="宋体" w:cs="宋体"/>
                <w:color w:val="000000"/>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TB的备份</w:t>
            </w:r>
            <w:r>
              <w:rPr>
                <w:rFonts w:hint="eastAsia" w:ascii="宋体" w:hAnsi="宋体" w:eastAsia="宋体" w:cs="宋体"/>
                <w:color w:val="000000"/>
                <w:kern w:val="0"/>
                <w:sz w:val="24"/>
                <w:szCs w:val="24"/>
              </w:rPr>
              <w:t>空间</w:t>
            </w:r>
          </w:p>
        </w:tc>
        <w:tc>
          <w:tcPr>
            <w:tcW w:w="726" w:type="dxa"/>
            <w:noWrap w:val="0"/>
            <w:vAlign w:val="center"/>
          </w:tcPr>
          <w:p w14:paraId="7A50F6AF">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00" w:type="dxa"/>
            <w:noWrap w:val="0"/>
            <w:vAlign w:val="center"/>
          </w:tcPr>
          <w:p w14:paraId="0DEC8739">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r>
      <w:tr w14:paraId="402E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1" w:type="dxa"/>
            <w:noWrap w:val="0"/>
            <w:vAlign w:val="center"/>
          </w:tcPr>
          <w:p w14:paraId="220A9CF9">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812" w:type="dxa"/>
            <w:noWrap w:val="0"/>
            <w:vAlign w:val="center"/>
          </w:tcPr>
          <w:p w14:paraId="7ECF7F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标准备份服务</w:t>
            </w:r>
          </w:p>
        </w:tc>
        <w:tc>
          <w:tcPr>
            <w:tcW w:w="4418" w:type="dxa"/>
            <w:noWrap w:val="0"/>
            <w:vAlign w:val="center"/>
          </w:tcPr>
          <w:p w14:paraId="4528A36C">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安装实施及售后技术支持服务</w:t>
            </w:r>
          </w:p>
        </w:tc>
        <w:tc>
          <w:tcPr>
            <w:tcW w:w="726" w:type="dxa"/>
            <w:noWrap w:val="0"/>
            <w:vAlign w:val="center"/>
          </w:tcPr>
          <w:p w14:paraId="760D8BA5">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400" w:type="dxa"/>
            <w:noWrap w:val="0"/>
            <w:vAlign w:val="center"/>
          </w:tcPr>
          <w:p w14:paraId="7EDD92AE">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r>
    </w:tbl>
    <w:p w14:paraId="4DE6FCF4">
      <w:pPr>
        <w:widowControl/>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（3）技术参数</w:t>
      </w:r>
    </w:p>
    <w:tbl>
      <w:tblPr>
        <w:tblStyle w:val="3"/>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5"/>
        <w:gridCol w:w="792"/>
        <w:gridCol w:w="7417"/>
      </w:tblGrid>
      <w:tr w14:paraId="19E1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shd w:val="clear" w:color="auto" w:fill="auto"/>
            <w:vAlign w:val="center"/>
          </w:tcPr>
          <w:p w14:paraId="71AF32A7">
            <w:pPr>
              <w:spacing w:before="120" w:after="120"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指标项</w:t>
            </w:r>
          </w:p>
        </w:tc>
        <w:tc>
          <w:tcPr>
            <w:tcW w:w="792" w:type="dxa"/>
            <w:shd w:val="clear" w:color="auto" w:fill="auto"/>
            <w:vAlign w:val="center"/>
          </w:tcPr>
          <w:p w14:paraId="0599C658">
            <w:pPr>
              <w:spacing w:before="120" w:after="120"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子指标项</w:t>
            </w:r>
          </w:p>
        </w:tc>
        <w:tc>
          <w:tcPr>
            <w:tcW w:w="7417" w:type="dxa"/>
            <w:shd w:val="clear" w:color="auto" w:fill="auto"/>
            <w:vAlign w:val="center"/>
          </w:tcPr>
          <w:p w14:paraId="2E48AD14">
            <w:pPr>
              <w:spacing w:before="120" w:after="120" w:line="24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产品技术参数要求</w:t>
            </w:r>
          </w:p>
        </w:tc>
      </w:tr>
      <w:tr w14:paraId="3468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214" w:type="dxa"/>
            <w:gridSpan w:val="3"/>
            <w:shd w:val="clear" w:color="auto" w:fill="auto"/>
            <w:vAlign w:val="center"/>
          </w:tcPr>
          <w:p w14:paraId="3BE148FD">
            <w:pPr>
              <w:spacing w:before="120" w:after="120" w:line="240" w:lineRule="auto"/>
              <w:ind w:firstLine="355" w:firstLineChars="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★一、云备份服务</w:t>
            </w:r>
          </w:p>
        </w:tc>
      </w:tr>
      <w:tr w14:paraId="7576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 w:hRule="atLeast"/>
        </w:trPr>
        <w:tc>
          <w:tcPr>
            <w:tcW w:w="1005" w:type="dxa"/>
            <w:vMerge w:val="restart"/>
            <w:shd w:val="clear" w:color="auto" w:fill="auto"/>
            <w:vAlign w:val="center"/>
          </w:tcPr>
          <w:p w14:paraId="094C3E4E">
            <w:pPr>
              <w:spacing w:before="120" w:after="120" w:line="240" w:lineRule="auto"/>
              <w:ind w:left="-28" w:leftChars="-14" w:hanging="1"/>
              <w:jc w:val="center"/>
              <w:rPr>
                <w:rFonts w:hint="eastAsia" w:ascii="宋体" w:hAnsi="宋体" w:eastAsia="宋体" w:cs="宋体"/>
                <w:color w:val="auto"/>
                <w:sz w:val="24"/>
                <w:szCs w:val="24"/>
              </w:rPr>
            </w:pPr>
            <w:r>
              <w:rPr>
                <w:rFonts w:hint="eastAsia" w:ascii="宋体" w:hAnsi="宋体" w:eastAsia="宋体" w:cs="宋体"/>
                <w:color w:val="auto"/>
                <w:sz w:val="24"/>
                <w:szCs w:val="24"/>
              </w:rPr>
              <w:t>产品规格</w:t>
            </w:r>
          </w:p>
        </w:tc>
        <w:tc>
          <w:tcPr>
            <w:tcW w:w="792" w:type="dxa"/>
            <w:shd w:val="clear" w:color="auto" w:fill="auto"/>
            <w:vAlign w:val="center"/>
          </w:tcPr>
          <w:p w14:paraId="7F7787CA">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产品资质</w:t>
            </w:r>
          </w:p>
        </w:tc>
        <w:tc>
          <w:tcPr>
            <w:tcW w:w="7417" w:type="dxa"/>
            <w:shd w:val="clear" w:color="auto" w:fill="auto"/>
            <w:vAlign w:val="center"/>
          </w:tcPr>
          <w:p w14:paraId="74E31673">
            <w:pPr>
              <w:spacing w:before="120" w:after="120"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具有中华人民共和国国家版权局颁发的《计算机软件著作权登记证书》</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highlight w:val="none"/>
                <w:lang w:eastAsia="zh-CN"/>
              </w:rPr>
              <w:t>供应商须在成交后5日内</w:t>
            </w:r>
            <w:r>
              <w:rPr>
                <w:rFonts w:hint="eastAsia" w:ascii="宋体" w:hAnsi="宋体" w:eastAsia="宋体" w:cs="宋体"/>
                <w:b/>
                <w:bCs/>
                <w:color w:val="auto"/>
                <w:sz w:val="24"/>
                <w:szCs w:val="24"/>
                <w:highlight w:val="none"/>
                <w:lang w:val="en-US" w:eastAsia="zh-CN"/>
              </w:rPr>
              <w:t>提供</w:t>
            </w:r>
            <w:r>
              <w:rPr>
                <w:rFonts w:hint="eastAsia" w:ascii="宋体" w:hAnsi="宋体" w:eastAsia="宋体" w:cs="宋体"/>
                <w:b/>
                <w:bCs/>
                <w:color w:val="auto"/>
                <w:sz w:val="24"/>
                <w:szCs w:val="24"/>
                <w:lang w:val="en-US" w:eastAsia="zh-CN"/>
              </w:rPr>
              <w:t>证书扫描件</w:t>
            </w:r>
            <w:r>
              <w:rPr>
                <w:rFonts w:hint="eastAsia" w:ascii="宋体" w:hAnsi="宋体" w:eastAsia="宋体" w:cs="宋体"/>
                <w:b/>
                <w:bCs/>
                <w:color w:val="auto"/>
                <w:sz w:val="24"/>
                <w:szCs w:val="24"/>
                <w:lang w:eastAsia="zh-CN"/>
              </w:rPr>
              <w:t>。</w:t>
            </w:r>
          </w:p>
          <w:p w14:paraId="44CBD410">
            <w:pPr>
              <w:spacing w:before="120" w:after="120" w:line="240" w:lineRule="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2、投标产品应具备计算机信息系统安全专用产品销售许可</w:t>
            </w:r>
            <w:r>
              <w:rPr>
                <w:rFonts w:hint="eastAsia" w:ascii="宋体" w:hAnsi="宋体" w:eastAsia="宋体" w:cs="宋体"/>
                <w:color w:val="auto"/>
                <w:sz w:val="24"/>
                <w:szCs w:val="24"/>
                <w:lang w:val="en-US" w:eastAsia="zh-CN"/>
              </w:rPr>
              <w:t>证明</w:t>
            </w:r>
            <w:r>
              <w:rPr>
                <w:rFonts w:hint="eastAsia" w:ascii="宋体" w:hAnsi="宋体" w:eastAsia="宋体" w:cs="宋体"/>
                <w:b/>
                <w:bCs/>
                <w:color w:val="auto"/>
                <w:sz w:val="24"/>
                <w:szCs w:val="24"/>
                <w:lang w:val="en-US" w:eastAsia="zh-CN"/>
              </w:rPr>
              <w:t>，供应商须在成交后5日内提供许可证扫描件</w:t>
            </w:r>
            <w:r>
              <w:rPr>
                <w:rFonts w:hint="eastAsia" w:ascii="宋体" w:hAnsi="宋体" w:eastAsia="宋体" w:cs="宋体"/>
                <w:b/>
                <w:bCs/>
                <w:color w:val="auto"/>
                <w:sz w:val="24"/>
                <w:szCs w:val="24"/>
                <w:lang w:eastAsia="zh-CN"/>
              </w:rPr>
              <w:t>。</w:t>
            </w:r>
          </w:p>
          <w:p w14:paraId="06A4692E">
            <w:pPr>
              <w:spacing w:before="120" w:after="120" w:line="240" w:lineRule="auto"/>
              <w:rPr>
                <w:rFonts w:hint="eastAsia" w:ascii="等线" w:hAnsi="等线" w:eastAsia="等线" w:cs="Times New Roman"/>
                <w:color w:val="auto"/>
                <w:szCs w:val="22"/>
                <w:lang w:eastAsia="zh-CN"/>
              </w:rPr>
            </w:pPr>
            <w:r>
              <w:rPr>
                <w:rFonts w:hint="eastAsia" w:ascii="宋体" w:hAnsi="宋体" w:eastAsia="宋体" w:cs="宋体"/>
                <w:color w:val="auto"/>
                <w:sz w:val="24"/>
                <w:szCs w:val="24"/>
              </w:rPr>
              <w:t>3、提供备份软件与国产KVM虚拟化厂商兼容性证书，</w:t>
            </w:r>
            <w:r>
              <w:rPr>
                <w:rFonts w:hint="eastAsia" w:ascii="宋体" w:hAnsi="宋体" w:eastAsia="宋体" w:cs="宋体"/>
                <w:color w:val="auto"/>
                <w:sz w:val="24"/>
                <w:szCs w:val="24"/>
                <w:lang w:val="en-US" w:eastAsia="zh-CN"/>
              </w:rPr>
              <w:t>包括但不限于</w:t>
            </w:r>
            <w:r>
              <w:rPr>
                <w:rFonts w:hint="eastAsia" w:ascii="宋体" w:hAnsi="宋体" w:eastAsia="宋体" w:cs="宋体"/>
                <w:color w:val="auto"/>
                <w:sz w:val="24"/>
                <w:szCs w:val="24"/>
              </w:rPr>
              <w:t>云宏、EasyStack、Zstack、深信服、SmartX等</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供应商须在成交后5日内提供兼容性证书扫描件</w:t>
            </w:r>
            <w:r>
              <w:rPr>
                <w:rFonts w:hint="eastAsia" w:ascii="宋体" w:hAnsi="宋体" w:eastAsia="宋体" w:cs="宋体"/>
                <w:b/>
                <w:bCs/>
                <w:color w:val="auto"/>
                <w:sz w:val="24"/>
                <w:szCs w:val="24"/>
                <w:lang w:eastAsia="zh-CN"/>
              </w:rPr>
              <w:t>。</w:t>
            </w:r>
          </w:p>
        </w:tc>
      </w:tr>
      <w:tr w14:paraId="4292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005" w:type="dxa"/>
            <w:vMerge w:val="continue"/>
            <w:shd w:val="clear" w:color="auto" w:fill="auto"/>
            <w:vAlign w:val="center"/>
          </w:tcPr>
          <w:p w14:paraId="308AC12E">
            <w:pPr>
              <w:spacing w:before="120" w:after="120" w:line="240" w:lineRule="auto"/>
              <w:rPr>
                <w:rFonts w:hint="eastAsia" w:ascii="宋体" w:hAnsi="宋体" w:eastAsia="宋体" w:cs="宋体"/>
                <w:color w:val="auto"/>
                <w:sz w:val="24"/>
                <w:szCs w:val="24"/>
              </w:rPr>
            </w:pPr>
          </w:p>
        </w:tc>
        <w:tc>
          <w:tcPr>
            <w:tcW w:w="792" w:type="dxa"/>
            <w:shd w:val="clear" w:color="auto" w:fill="auto"/>
            <w:vAlign w:val="center"/>
          </w:tcPr>
          <w:p w14:paraId="6B9351B8">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授权配置</w:t>
            </w:r>
          </w:p>
        </w:tc>
        <w:tc>
          <w:tcPr>
            <w:tcW w:w="7417" w:type="dxa"/>
            <w:shd w:val="clear" w:color="auto" w:fill="auto"/>
            <w:vAlign w:val="center"/>
          </w:tcPr>
          <w:p w14:paraId="42B145CD">
            <w:pPr>
              <w:spacing w:before="120" w:after="120" w:line="240" w:lineRule="auto"/>
              <w:rPr>
                <w:rFonts w:hint="eastAsia" w:ascii="等线" w:hAnsi="等线" w:eastAsia="等线" w:cs="Times New Roman"/>
                <w:color w:val="auto"/>
                <w:szCs w:val="22"/>
                <w:lang w:eastAsia="zh-CN"/>
              </w:rPr>
            </w:pPr>
            <w:r>
              <w:rPr>
                <w:rFonts w:hint="eastAsia" w:ascii="宋体" w:hAnsi="宋体" w:eastAsia="宋体" w:cs="宋体"/>
                <w:color w:val="auto"/>
                <w:sz w:val="24"/>
                <w:szCs w:val="24"/>
              </w:rPr>
              <w:t>本次配置1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TB备份软件授权许可；支持Oracle、MSSQL和MySQL数据库定时备份，支持Windows和Linux系统的文件定时备份，支持数据全量和增量备份，支持备份数据重复数据删除，支持配置备份任务计划；软件提供一年7*24小时原厂保修服务</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val="en-US" w:eastAsia="zh-CN"/>
              </w:rPr>
              <w:t>供应商须在成交后5日内</w:t>
            </w:r>
            <w:r>
              <w:rPr>
                <w:rFonts w:hint="eastAsia" w:ascii="宋体" w:hAnsi="宋体" w:eastAsia="宋体" w:cs="宋体"/>
                <w:b/>
                <w:bCs/>
                <w:color w:val="auto"/>
                <w:sz w:val="24"/>
                <w:szCs w:val="24"/>
              </w:rPr>
              <w:t>提供原厂服务承诺函</w:t>
            </w:r>
            <w:r>
              <w:rPr>
                <w:rFonts w:hint="eastAsia" w:ascii="宋体" w:hAnsi="宋体" w:eastAsia="宋体" w:cs="宋体"/>
                <w:b/>
                <w:bCs/>
                <w:color w:val="auto"/>
                <w:sz w:val="24"/>
                <w:szCs w:val="24"/>
                <w:lang w:eastAsia="zh-CN"/>
              </w:rPr>
              <w:t>。</w:t>
            </w:r>
          </w:p>
        </w:tc>
      </w:tr>
      <w:tr w14:paraId="47D1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05" w:type="dxa"/>
            <w:vMerge w:val="continue"/>
            <w:shd w:val="clear" w:color="auto" w:fill="auto"/>
            <w:vAlign w:val="center"/>
          </w:tcPr>
          <w:p w14:paraId="23D1ED38">
            <w:pPr>
              <w:spacing w:before="120" w:after="120" w:line="240" w:lineRule="auto"/>
              <w:rPr>
                <w:rFonts w:hint="eastAsia" w:ascii="宋体" w:hAnsi="宋体" w:eastAsia="宋体" w:cs="宋体"/>
                <w:color w:val="auto"/>
                <w:sz w:val="24"/>
                <w:szCs w:val="24"/>
              </w:rPr>
            </w:pPr>
          </w:p>
        </w:tc>
        <w:tc>
          <w:tcPr>
            <w:tcW w:w="792" w:type="dxa"/>
            <w:shd w:val="clear" w:color="auto" w:fill="auto"/>
            <w:vAlign w:val="center"/>
          </w:tcPr>
          <w:p w14:paraId="2296567D">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产品架构</w:t>
            </w:r>
          </w:p>
        </w:tc>
        <w:tc>
          <w:tcPr>
            <w:tcW w:w="7417" w:type="dxa"/>
            <w:shd w:val="clear" w:color="auto" w:fill="auto"/>
            <w:vAlign w:val="center"/>
          </w:tcPr>
          <w:p w14:paraId="32484EF6">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产品底层基于Linux系统开发和部署，提升系统可靠性。采用B/S架构管理界面，无需安装客户端管理软件；采用向导式的备份/恢复任务配置管理，支持多用户、权限分离管理；支持基于角色的访问控制，图形化的日志、报表、系统概况；</w:t>
            </w:r>
          </w:p>
        </w:tc>
      </w:tr>
      <w:tr w14:paraId="3F34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shd w:val="clear" w:color="auto" w:fill="auto"/>
            <w:vAlign w:val="center"/>
          </w:tcPr>
          <w:p w14:paraId="5615564D">
            <w:pPr>
              <w:spacing w:before="120" w:after="12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兼容性</w:t>
            </w:r>
          </w:p>
        </w:tc>
        <w:tc>
          <w:tcPr>
            <w:tcW w:w="792" w:type="dxa"/>
            <w:shd w:val="clear" w:color="auto" w:fill="auto"/>
            <w:vAlign w:val="center"/>
          </w:tcPr>
          <w:p w14:paraId="5132D0BB">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操作系统支持</w:t>
            </w:r>
          </w:p>
        </w:tc>
        <w:tc>
          <w:tcPr>
            <w:tcW w:w="7417" w:type="dxa"/>
            <w:shd w:val="clear" w:color="auto" w:fill="auto"/>
            <w:vAlign w:val="center"/>
          </w:tcPr>
          <w:p w14:paraId="2B854119">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支持主流操作系统平台，具备Windows、Linux等系统平台的保护能力，满足IT系统复杂性和兼容性需求；</w:t>
            </w:r>
          </w:p>
        </w:tc>
      </w:tr>
      <w:tr w14:paraId="6626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05" w:type="dxa"/>
            <w:vMerge w:val="continue"/>
            <w:shd w:val="clear" w:color="auto" w:fill="auto"/>
            <w:vAlign w:val="center"/>
          </w:tcPr>
          <w:p w14:paraId="68988093">
            <w:pPr>
              <w:spacing w:before="120" w:after="120" w:line="240" w:lineRule="auto"/>
              <w:rPr>
                <w:rFonts w:hint="eastAsia" w:ascii="宋体" w:hAnsi="宋体" w:eastAsia="宋体" w:cs="宋体"/>
                <w:color w:val="auto"/>
                <w:sz w:val="24"/>
                <w:szCs w:val="24"/>
              </w:rPr>
            </w:pPr>
          </w:p>
        </w:tc>
        <w:tc>
          <w:tcPr>
            <w:tcW w:w="792" w:type="dxa"/>
            <w:shd w:val="clear" w:color="auto" w:fill="auto"/>
            <w:vAlign w:val="center"/>
          </w:tcPr>
          <w:p w14:paraId="53F15FB0">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数据库/文件支持</w:t>
            </w:r>
          </w:p>
        </w:tc>
        <w:tc>
          <w:tcPr>
            <w:tcW w:w="7417" w:type="dxa"/>
            <w:shd w:val="clear" w:color="auto" w:fill="auto"/>
            <w:vAlign w:val="center"/>
          </w:tcPr>
          <w:p w14:paraId="30F19F07">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支持对Oracle、SQL Server和MySQL等主流数据库备份，支持Windows和Linux系统的文件备份；</w:t>
            </w:r>
          </w:p>
        </w:tc>
      </w:tr>
      <w:tr w14:paraId="5356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3F4F99AC">
            <w:pPr>
              <w:spacing w:before="120" w:after="120" w:line="240" w:lineRule="auto"/>
              <w:rPr>
                <w:rFonts w:hint="eastAsia" w:ascii="宋体" w:hAnsi="宋体" w:eastAsia="宋体" w:cs="宋体"/>
                <w:color w:val="auto"/>
                <w:sz w:val="24"/>
                <w:szCs w:val="24"/>
              </w:rPr>
            </w:pPr>
          </w:p>
        </w:tc>
        <w:tc>
          <w:tcPr>
            <w:tcW w:w="792" w:type="dxa"/>
            <w:shd w:val="clear" w:color="auto" w:fill="auto"/>
            <w:vAlign w:val="center"/>
          </w:tcPr>
          <w:p w14:paraId="61A91D22">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虚拟化平台支持</w:t>
            </w:r>
          </w:p>
        </w:tc>
        <w:tc>
          <w:tcPr>
            <w:tcW w:w="7417" w:type="dxa"/>
            <w:shd w:val="clear" w:color="auto" w:fill="auto"/>
            <w:vAlign w:val="center"/>
          </w:tcPr>
          <w:p w14:paraId="751D7EF0">
            <w:pPr>
              <w:spacing w:before="120" w:after="120" w:line="24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支持VMware ESX(i)、Microsoft Hpyer-V、XEN、KVM和OpenStack等主流虚拟化平台虚拟机的无代理备份方式,无需在虚拟机OS安装备份代理</w:t>
            </w:r>
            <w:r>
              <w:rPr>
                <w:rFonts w:hint="eastAsia" w:ascii="宋体" w:hAnsi="宋体" w:eastAsia="宋体" w:cs="宋体"/>
                <w:color w:val="auto"/>
                <w:sz w:val="24"/>
                <w:szCs w:val="24"/>
                <w:lang w:eastAsia="zh-CN"/>
              </w:rPr>
              <w:t>；</w:t>
            </w:r>
          </w:p>
        </w:tc>
      </w:tr>
      <w:tr w14:paraId="0DB4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shd w:val="clear" w:color="auto" w:fill="auto"/>
            <w:vAlign w:val="center"/>
          </w:tcPr>
          <w:p w14:paraId="64BDBF33">
            <w:pPr>
              <w:spacing w:before="120" w:after="12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功能</w:t>
            </w:r>
          </w:p>
          <w:p w14:paraId="5203D805">
            <w:pPr>
              <w:spacing w:before="120" w:after="12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792" w:type="dxa"/>
            <w:vMerge w:val="restart"/>
            <w:shd w:val="clear" w:color="auto" w:fill="auto"/>
            <w:vAlign w:val="center"/>
          </w:tcPr>
          <w:p w14:paraId="38963317">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数据库备份（定时备份）</w:t>
            </w:r>
          </w:p>
        </w:tc>
        <w:tc>
          <w:tcPr>
            <w:tcW w:w="7417" w:type="dxa"/>
            <w:shd w:val="clear" w:color="auto" w:fill="auto"/>
            <w:vAlign w:val="center"/>
          </w:tcPr>
          <w:p w14:paraId="7DD95C9F">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支持Oracle、SQL Server和MySQL等主流数据库的在线备份，支持完全备份、增量备份、日志备份，提供多种不同的备份策略。备份过程中无须任何脚本，无须通过命令行方式，采用全图形化方式进行数据库备份或恢复作业</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响应文件中提供产品功能截图并加盖</w:t>
            </w:r>
            <w:r>
              <w:rPr>
                <w:rFonts w:hint="eastAsia" w:ascii="宋体" w:hAnsi="宋体" w:eastAsia="宋体" w:cs="宋体"/>
                <w:b/>
                <w:bCs/>
                <w:color w:val="auto"/>
                <w:sz w:val="24"/>
                <w:szCs w:val="24"/>
                <w:highlight w:val="none"/>
                <w:lang w:val="en-US" w:eastAsia="zh-CN"/>
              </w:rPr>
              <w:t>供应商公章</w:t>
            </w:r>
            <w:r>
              <w:rPr>
                <w:rFonts w:hint="eastAsia" w:ascii="宋体" w:hAnsi="宋体" w:eastAsia="宋体" w:cs="宋体"/>
                <w:b/>
                <w:bCs/>
                <w:color w:val="auto"/>
                <w:sz w:val="24"/>
                <w:szCs w:val="24"/>
                <w:highlight w:val="none"/>
                <w:lang w:eastAsia="zh-CN"/>
              </w:rPr>
              <w:t>。</w:t>
            </w:r>
          </w:p>
        </w:tc>
      </w:tr>
      <w:tr w14:paraId="51E2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1EBDA2DC">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63207EA3">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7E0D58FE">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可自动发现识别业务主机中安装的数据库，包括Oracle、SQLServer和MySQL实例，无需手动人为干预；</w:t>
            </w:r>
          </w:p>
        </w:tc>
      </w:tr>
      <w:tr w14:paraId="3156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4D50999E">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537A0569">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4393B271">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在Oracle环境下，通过Oracle RMAN备份接口进行备份，无须任何脚本或命令行方式，实现全量数据和增量数据的复制备份。支持Oracle ASM，支持Oracle RAC，备份过程中不得使用任何私有协议或存储卷磁盘块复制方式进行数据库备份；</w:t>
            </w:r>
            <w:r>
              <w:rPr>
                <w:rFonts w:hint="eastAsia" w:ascii="宋体" w:hAnsi="宋体" w:eastAsia="宋体" w:cs="宋体"/>
                <w:b/>
                <w:bCs/>
                <w:color w:val="auto"/>
                <w:sz w:val="24"/>
                <w:szCs w:val="24"/>
                <w:highlight w:val="none"/>
              </w:rPr>
              <w:t>响应文件中提供产品功能截图并加盖供应商公章。</w:t>
            </w:r>
          </w:p>
        </w:tc>
      </w:tr>
      <w:tr w14:paraId="4052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3B5923E7">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5F6FE05D">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7E4C4FA5">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备份管理软件支持对 Oracle 、SQLServer、MySQL等一次性备份后，既可恢复数据库又可恢复单个文件或单个表空间的细粒度恢复技术。</w:t>
            </w:r>
          </w:p>
        </w:tc>
      </w:tr>
      <w:tr w14:paraId="0719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00ED87F6">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51F98005">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7011C263">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支持通过数据压缩等技术手段节约远程备份网络负载，降低远程备份的网络带宽要求；</w:t>
            </w:r>
          </w:p>
        </w:tc>
      </w:tr>
      <w:tr w14:paraId="7BCC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535F46B3">
            <w:pPr>
              <w:spacing w:before="120" w:after="120" w:line="240" w:lineRule="auto"/>
              <w:rPr>
                <w:rFonts w:hint="eastAsia" w:ascii="宋体" w:hAnsi="宋体" w:eastAsia="宋体" w:cs="宋体"/>
                <w:color w:val="auto"/>
                <w:sz w:val="24"/>
                <w:szCs w:val="24"/>
              </w:rPr>
            </w:pPr>
          </w:p>
        </w:tc>
        <w:tc>
          <w:tcPr>
            <w:tcW w:w="792" w:type="dxa"/>
            <w:vMerge w:val="restart"/>
            <w:shd w:val="clear" w:color="auto" w:fill="auto"/>
            <w:vAlign w:val="center"/>
          </w:tcPr>
          <w:p w14:paraId="1788990E">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数据库备份（实时备份）</w:t>
            </w:r>
          </w:p>
        </w:tc>
        <w:tc>
          <w:tcPr>
            <w:tcW w:w="7417" w:type="dxa"/>
            <w:shd w:val="clear" w:color="auto" w:fill="auto"/>
            <w:vAlign w:val="center"/>
          </w:tcPr>
          <w:p w14:paraId="72571F21">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Oracle、SQLServer和MySQL等数据库的实时数据备份，支持对数据进行自动监控，连续捕获和备份数据变化，实时增量备份，备份系统对网络和系统资源占用少。支持对数据库保护能做到实时备份、数据任意回退、异地灾备；</w:t>
            </w:r>
            <w:r>
              <w:rPr>
                <w:rFonts w:hint="eastAsia" w:ascii="宋体" w:hAnsi="宋体" w:eastAsia="宋体" w:cs="宋体"/>
                <w:b/>
                <w:bCs/>
                <w:color w:val="auto"/>
                <w:sz w:val="24"/>
                <w:szCs w:val="24"/>
                <w:highlight w:val="none"/>
              </w:rPr>
              <w:t>响应文件中提供产品功能截图并加盖供应商公章。</w:t>
            </w:r>
          </w:p>
        </w:tc>
      </w:tr>
      <w:tr w14:paraId="7E46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247C85C6">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5C7536F1">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5E769D61">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实时备份对数据进行自动监控，连续捕获和备份数据变化,只要数据发生变化，便实时、准确的备份下来。RPO=0，保证数据零丢失；增量机制只备份变化部分，在保障备份数据安全的同时减少备份的工作量；</w:t>
            </w:r>
          </w:p>
        </w:tc>
      </w:tr>
      <w:tr w14:paraId="6406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01697C13">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6043D846">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39E5D4F9">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按任意时间点（步数）的回退机制＋增量备份方式，保证备份数据的安全和高可用性；备份站可设定最高回退步数，可以按任意操作步数回退，支持0步回退，回退以SQL（数据库）一个“事务”为单位；也可按时间点回退，可精确到毫秒，支持一秒钟内具备≧N个回退点，如数据遭到破坏时，备份数据可将数据回退到损坏前最后时刻的状态，且能保证事件的完整性；</w:t>
            </w:r>
          </w:p>
        </w:tc>
      </w:tr>
      <w:tr w14:paraId="79D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6D0D7842">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4E2FFCB2">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18CD4995">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在Oracle环境下，实时备份不需要开启Oracle归档模式和配置监听；</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16EB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361D723F">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0CC71C8D">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223505B7">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数据库应急接管，在主数据服务器宕机以后，备份机接管主站的IP和机器名继续对外服务，RTO接近于0,保证业务不中断。同时支持单机及双机集群的接管。接管过程中不需要任何人工干预，必须是生产机完全宕机的整机接管，不能是卷挂载方式；</w:t>
            </w:r>
          </w:p>
        </w:tc>
      </w:tr>
      <w:tr w14:paraId="1D1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0FBDE272">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770093FC">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2F5F1301">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数据库应急接管不需要配置单独的虚拟IP地址或改变现有网络架构，使用源IP即可完成对数据库的分钟级接管；</w:t>
            </w:r>
          </w:p>
        </w:tc>
      </w:tr>
      <w:tr w14:paraId="63F6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5D156FD8">
            <w:pPr>
              <w:spacing w:before="120" w:after="120" w:line="240" w:lineRule="auto"/>
              <w:rPr>
                <w:rFonts w:hint="eastAsia" w:ascii="宋体" w:hAnsi="宋体" w:eastAsia="宋体" w:cs="宋体"/>
                <w:color w:val="auto"/>
                <w:sz w:val="24"/>
                <w:szCs w:val="24"/>
              </w:rPr>
            </w:pPr>
          </w:p>
        </w:tc>
        <w:tc>
          <w:tcPr>
            <w:tcW w:w="792" w:type="dxa"/>
            <w:vMerge w:val="restart"/>
            <w:shd w:val="clear" w:color="auto" w:fill="auto"/>
            <w:vAlign w:val="center"/>
          </w:tcPr>
          <w:p w14:paraId="678AD158">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虚拟机备份</w:t>
            </w:r>
          </w:p>
        </w:tc>
        <w:tc>
          <w:tcPr>
            <w:tcW w:w="7417" w:type="dxa"/>
            <w:shd w:val="clear" w:color="auto" w:fill="auto"/>
            <w:vAlign w:val="center"/>
          </w:tcPr>
          <w:p w14:paraId="771A3EFD">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支持多种虚拟化平台的无代理备份方式（无需在虚拟机OS安装任何备份客户端），兼容VMware vSphere、Microsoft Hyper-V、Citrix Xenserver、RedHat RHV/Ovirt、浪潮InCloud Sphere、浪潮InCloud OpenStack、Huawei FusionCompute、H3C CAS、云宏CNware、Sangfor HCI、中标麒麟、ZStack等主流虚拟化平台；</w:t>
            </w:r>
          </w:p>
        </w:tc>
      </w:tr>
      <w:tr w14:paraId="4990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12C63A13">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38F4CBAF">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48B5BE1F">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支持全量、增量和差异备份，支持虚拟机批量备份、批量恢复，支持运行、停止、暂停等状态虚拟机的备份；支持备份数据加密/压缩传输；支持备份数据压缩、重复数据删除；</w:t>
            </w:r>
          </w:p>
        </w:tc>
      </w:tr>
      <w:tr w14:paraId="5F3B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324D7B7B">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02E8187C">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51F36D26">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支持Citrix（XenServer）、InCloud Sphere、红帽RHV/Ovirt等虚拟机高速备份、普通备份模式；</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0066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48C771AC">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785587B5">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1DBD709E">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支持批量备份中应用关联的虚拟机备份的数据时间点一致（并行快照），同时需要支持批量备份中多个非关联性虚拟机串行快照，降低对生产存储空间占用和性能影响（串行快照）；</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737E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7BC0A610">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27F8EBFF">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469A62E2">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实现对虚拟机深度有效数据提取，只备份已经写入的数据，对于虚拟机中无备份价值的数据（包含交换文件块、删除文件块、分区间隙等）不进行备份；</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5D91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0B0EDAF3">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214F5D10">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78C456EB">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支持可设置数据备份点星标永久保存</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13F4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1AAE8679">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37A27543">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02AF4219">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支持网络传输、SAN传输、NBD传输、SAN+NBD传输等多种数据传输模式；</w:t>
            </w:r>
          </w:p>
        </w:tc>
      </w:tr>
      <w:tr w14:paraId="6C4A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0EE25AD5">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652919F8">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15424388">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提供灾难恢复演练模块，可自动、快速的生成一个或多个可配置的演练环境，并可自动进行业务系统的灾难恢复演练，演练后可自动生成灾难恢复演练报告；</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6017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0A97C1A0">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1AD123CA">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053587E0">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支持VMware vSphere、Citrix XenServer、RedHat RHV/Ovirt、Sangfor HCI、云宏Cnware、InCloud Sphere等虚拟化平台内虚拟机任意备份数据点的瞬时恢复，支持在15秒内恢复虚拟机并将其运行起来，且恢复时间与虚拟机存储容量无关；</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4025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60FA2E74">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6FEC7FA8">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0BAB3679">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支持虚拟机瞬时恢复在线迁移功能，可将瞬时恢复的虚拟机从备份系统在线迁移到生产存储，迁移完成后数据不丢失；</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4389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471FA922">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4D106916">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2C224321">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提供细粒度恢复模式：可恢复备份虚拟机内单个或多个文件，可配置恢复虚拟机的单个或多个磁盘恢复位置、虚拟网卡绑定位置、是否保留MAC信息等；</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color w:val="auto"/>
                <w:sz w:val="24"/>
                <w:szCs w:val="24"/>
                <w:highlight w:val="none"/>
                <w:lang w:eastAsia="zh-CN"/>
              </w:rPr>
              <w:t>。</w:t>
            </w:r>
          </w:p>
        </w:tc>
      </w:tr>
      <w:tr w14:paraId="11AD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57E802E2">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45838D1C">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19E66771">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远程复制功能，能够将本地备份数据远程复制到异地，无需通过异地传输，即可实现异地业务系统的恢复和容灾；支持本地备份系统及异地备份系统的高可用，可随时相互接管；支持1对1，1对多等多种复制方式；支持断点续传特性，数据传输过程中出现中断时，在恢复正常后可基于上一次断点处进行续传；</w:t>
            </w:r>
          </w:p>
        </w:tc>
      </w:tr>
      <w:tr w14:paraId="0303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35F152BA">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59570E3B">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4E20CB97">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支持数据归档到对象存储或容灾到云端，支持S3协议的存储类型，支持阿里、AWS等主流公有云对象存储</w:t>
            </w:r>
            <w:r>
              <w:rPr>
                <w:rFonts w:hint="eastAsia" w:ascii="宋体" w:hAnsi="宋体" w:eastAsia="宋体" w:cs="宋体"/>
                <w:color w:val="auto"/>
                <w:sz w:val="24"/>
                <w:szCs w:val="24"/>
                <w:highlight w:val="none"/>
                <w:lang w:eastAsia="zh-CN"/>
              </w:rPr>
              <w:t>；</w:t>
            </w:r>
          </w:p>
        </w:tc>
      </w:tr>
      <w:tr w14:paraId="696F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shd w:val="clear" w:color="auto" w:fill="auto"/>
            <w:vAlign w:val="center"/>
          </w:tcPr>
          <w:p w14:paraId="73A59C27">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0B360B8C">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6165B1B7">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支持FC-SAN、IP-SAN、NFS、CIFS、LVM、本地硬盘等作为备份存储，同时存储配置能通过备份系统自身提供的可视化图形界面进行管理和操作；</w:t>
            </w:r>
          </w:p>
        </w:tc>
      </w:tr>
      <w:tr w14:paraId="6D6B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restart"/>
            <w:shd w:val="clear" w:color="auto" w:fill="auto"/>
            <w:vAlign w:val="center"/>
          </w:tcPr>
          <w:p w14:paraId="330A85CD">
            <w:pPr>
              <w:spacing w:before="120" w:after="120"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管理及售后服务</w:t>
            </w:r>
          </w:p>
        </w:tc>
        <w:tc>
          <w:tcPr>
            <w:tcW w:w="792" w:type="dxa"/>
            <w:vMerge w:val="restart"/>
            <w:shd w:val="clear" w:color="auto" w:fill="auto"/>
            <w:vAlign w:val="center"/>
          </w:tcPr>
          <w:p w14:paraId="679EF81D">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平台管理和监控</w:t>
            </w:r>
          </w:p>
        </w:tc>
        <w:tc>
          <w:tcPr>
            <w:tcW w:w="7417" w:type="dxa"/>
            <w:shd w:val="clear" w:color="auto" w:fill="auto"/>
            <w:vAlign w:val="center"/>
          </w:tcPr>
          <w:p w14:paraId="68C21A68">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对备份系统的任务（任务运行情况、任务详情、任务历史记录等）进行监控，支持管理平台节点（包括存储服务器、客户端）的设备运行情况（状态、容量使用情况等）进行统一监控</w:t>
            </w:r>
            <w:r>
              <w:rPr>
                <w:rFonts w:hint="eastAsia" w:ascii="宋体" w:hAnsi="宋体" w:eastAsia="宋体" w:cs="宋体"/>
                <w:color w:val="auto"/>
                <w:sz w:val="24"/>
                <w:szCs w:val="24"/>
                <w:highlight w:val="none"/>
                <w:lang w:eastAsia="zh-CN"/>
              </w:rPr>
              <w:t>；</w:t>
            </w:r>
          </w:p>
        </w:tc>
      </w:tr>
      <w:tr w14:paraId="2E4F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6FB2E7C2">
            <w:pPr>
              <w:spacing w:before="120" w:after="120" w:line="360" w:lineRule="auto"/>
              <w:rPr>
                <w:rFonts w:hint="eastAsia" w:ascii="宋体" w:hAnsi="宋体" w:eastAsia="宋体" w:cs="宋体"/>
                <w:color w:val="auto"/>
                <w:sz w:val="24"/>
                <w:szCs w:val="24"/>
              </w:rPr>
            </w:pPr>
          </w:p>
        </w:tc>
        <w:tc>
          <w:tcPr>
            <w:tcW w:w="792" w:type="dxa"/>
            <w:vMerge w:val="continue"/>
            <w:shd w:val="clear" w:color="auto" w:fill="auto"/>
            <w:vAlign w:val="center"/>
          </w:tcPr>
          <w:p w14:paraId="03F7E040">
            <w:pPr>
              <w:spacing w:before="120" w:after="120" w:line="360" w:lineRule="auto"/>
              <w:rPr>
                <w:rFonts w:hint="eastAsia" w:ascii="宋体" w:hAnsi="宋体" w:eastAsia="宋体" w:cs="宋体"/>
                <w:color w:val="auto"/>
                <w:sz w:val="24"/>
                <w:szCs w:val="24"/>
              </w:rPr>
            </w:pPr>
          </w:p>
        </w:tc>
        <w:tc>
          <w:tcPr>
            <w:tcW w:w="7417" w:type="dxa"/>
            <w:shd w:val="clear" w:color="auto" w:fill="auto"/>
            <w:vAlign w:val="center"/>
          </w:tcPr>
          <w:p w14:paraId="6E4B59A8">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支持可视化的大屏监控中心系统，支持一键投屏，实时查看备份系统软件及硬件情况，采用丰富的视觉元素呈现，多种图形、图像显示。支持实时动态显示虚拟化平台宿主机信息、虚拟机数量、已保护和未保护虚拟机信息，支持备份存储信息实时监控，支持备份节点性能实时查看，包括CPU、内存和网络等信息，支持当前任务信息查看和动态显示。根据备份系统数据统计每日备份的虚拟机情况，每日存储使用情况等，方便用户在运维中实时查看整个备份系统状态，提前预判系统的各种问题，简化运维管理。</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2A5F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vMerge w:val="continue"/>
            <w:shd w:val="clear" w:color="auto" w:fill="auto"/>
            <w:vAlign w:val="center"/>
          </w:tcPr>
          <w:p w14:paraId="56A51CFF">
            <w:pPr>
              <w:spacing w:before="120" w:after="120" w:line="240" w:lineRule="auto"/>
              <w:rPr>
                <w:rFonts w:hint="eastAsia" w:ascii="宋体" w:hAnsi="宋体" w:eastAsia="宋体" w:cs="宋体"/>
                <w:color w:val="auto"/>
                <w:sz w:val="24"/>
                <w:szCs w:val="24"/>
              </w:rPr>
            </w:pPr>
          </w:p>
        </w:tc>
        <w:tc>
          <w:tcPr>
            <w:tcW w:w="792" w:type="dxa"/>
            <w:vMerge w:val="continue"/>
            <w:shd w:val="clear" w:color="auto" w:fill="auto"/>
            <w:vAlign w:val="center"/>
          </w:tcPr>
          <w:p w14:paraId="4A73DD0F">
            <w:pPr>
              <w:spacing w:before="120" w:after="120" w:line="240" w:lineRule="auto"/>
              <w:rPr>
                <w:rFonts w:hint="eastAsia" w:ascii="宋体" w:hAnsi="宋体" w:eastAsia="宋体" w:cs="宋体"/>
                <w:color w:val="auto"/>
                <w:sz w:val="24"/>
                <w:szCs w:val="24"/>
              </w:rPr>
            </w:pPr>
          </w:p>
        </w:tc>
        <w:tc>
          <w:tcPr>
            <w:tcW w:w="7417" w:type="dxa"/>
            <w:shd w:val="clear" w:color="auto" w:fill="auto"/>
            <w:vAlign w:val="center"/>
          </w:tcPr>
          <w:p w14:paraId="1F731EB7">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提供备份系统软件版本一键在线升级功能，通过在线上传升级包即可完成备份系统的软件升级，无需重装备份系统，提升运维效率；</w:t>
            </w:r>
            <w:r>
              <w:rPr>
                <w:rFonts w:hint="eastAsia" w:ascii="宋体" w:hAnsi="宋体" w:eastAsia="宋体" w:cs="宋体"/>
                <w:b/>
                <w:bCs/>
                <w:color w:val="auto"/>
                <w:sz w:val="24"/>
                <w:szCs w:val="24"/>
                <w:highlight w:val="none"/>
              </w:rPr>
              <w:t>响应文件中提供产品功能截图并加盖供应商公章</w:t>
            </w:r>
            <w:r>
              <w:rPr>
                <w:rFonts w:hint="eastAsia" w:ascii="宋体" w:hAnsi="宋体" w:eastAsia="宋体" w:cs="宋体"/>
                <w:b/>
                <w:bCs/>
                <w:color w:val="auto"/>
                <w:sz w:val="24"/>
                <w:szCs w:val="24"/>
                <w:highlight w:val="none"/>
                <w:lang w:eastAsia="zh-CN"/>
              </w:rPr>
              <w:t>。</w:t>
            </w:r>
          </w:p>
        </w:tc>
      </w:tr>
      <w:tr w14:paraId="677E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3"/>
            <w:shd w:val="clear" w:color="auto" w:fill="auto"/>
            <w:vAlign w:val="center"/>
          </w:tcPr>
          <w:p w14:paraId="4A1E1DD1">
            <w:pPr>
              <w:spacing w:before="120" w:after="12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二、备份线路</w:t>
            </w:r>
          </w:p>
        </w:tc>
      </w:tr>
      <w:tr w14:paraId="40E9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shd w:val="clear" w:color="auto" w:fill="auto"/>
            <w:vAlign w:val="center"/>
          </w:tcPr>
          <w:p w14:paraId="11C9F4DF">
            <w:pPr>
              <w:spacing w:before="120" w:after="12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92" w:type="dxa"/>
            <w:shd w:val="clear" w:color="auto" w:fill="auto"/>
            <w:vAlign w:val="center"/>
          </w:tcPr>
          <w:p w14:paraId="0FD37BCA">
            <w:pPr>
              <w:spacing w:before="120" w:after="12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备份线路</w:t>
            </w:r>
          </w:p>
        </w:tc>
        <w:tc>
          <w:tcPr>
            <w:tcW w:w="7417" w:type="dxa"/>
            <w:shd w:val="clear" w:color="auto" w:fill="auto"/>
            <w:vAlign w:val="center"/>
          </w:tcPr>
          <w:p w14:paraId="5F06E142">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提供100MB专线由学校连接至备份中心，专线专用。</w:t>
            </w:r>
          </w:p>
          <w:p w14:paraId="44AC7BC2">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2、网络全年可用率平均达标99.99%，线路比特率误码率等于或优于XXE-7，线路端到端全年可用率达到99.9%，全年平均恢复时间为1小时。</w:t>
            </w:r>
          </w:p>
        </w:tc>
      </w:tr>
      <w:tr w14:paraId="7610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214" w:type="dxa"/>
            <w:gridSpan w:val="3"/>
            <w:shd w:val="clear" w:color="auto" w:fill="auto"/>
            <w:vAlign w:val="center"/>
          </w:tcPr>
          <w:p w14:paraId="4A6E68FD">
            <w:pPr>
              <w:spacing w:before="120" w:after="12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三、云备份服务器</w:t>
            </w:r>
          </w:p>
        </w:tc>
      </w:tr>
      <w:tr w14:paraId="0D44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05" w:type="dxa"/>
            <w:shd w:val="clear" w:color="auto" w:fill="auto"/>
            <w:vAlign w:val="center"/>
          </w:tcPr>
          <w:p w14:paraId="18FB123A">
            <w:pPr>
              <w:spacing w:before="120" w:after="12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92" w:type="dxa"/>
            <w:shd w:val="clear" w:color="auto" w:fill="auto"/>
            <w:vAlign w:val="center"/>
          </w:tcPr>
          <w:p w14:paraId="75E44C4E">
            <w:pPr>
              <w:spacing w:before="120" w:after="12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云备份服务器</w:t>
            </w:r>
          </w:p>
        </w:tc>
        <w:tc>
          <w:tcPr>
            <w:tcW w:w="7417" w:type="dxa"/>
            <w:shd w:val="clear" w:color="auto" w:fill="auto"/>
            <w:vAlign w:val="center"/>
          </w:tcPr>
          <w:p w14:paraId="08CBF12A">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1、提供规格8核，32GB内存，100GB SAS系统盘，200G SSD重删盘，10M云上带宽的云主机，1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TB备份存储空间（SATA）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根据需求支持可弹性扩容；</w:t>
            </w:r>
          </w:p>
          <w:p w14:paraId="71CBE6E4">
            <w:pPr>
              <w:spacing w:before="120" w:after="12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2、支持用户预装操作系统及系统调试配合；</w:t>
            </w:r>
          </w:p>
          <w:p w14:paraId="7DDCDA86">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3、云备份平台的全部物理设备满足双链路100%冗余配置要求，全部硬件设备不存在单点故障</w:t>
            </w:r>
            <w:r>
              <w:rPr>
                <w:rFonts w:hint="eastAsia" w:ascii="宋体" w:hAnsi="宋体" w:eastAsia="宋体" w:cs="宋体"/>
                <w:color w:val="auto"/>
                <w:sz w:val="24"/>
                <w:szCs w:val="24"/>
                <w:highlight w:val="none"/>
                <w:lang w:eastAsia="zh-CN"/>
              </w:rPr>
              <w:t>；</w:t>
            </w:r>
          </w:p>
          <w:p w14:paraId="6CC49690">
            <w:pPr>
              <w:spacing w:before="120" w:after="120" w:line="24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.云虚拟化云平台软件的代码行级开源率&lt;20%</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成交后签订合同前</w:t>
            </w:r>
            <w:r>
              <w:rPr>
                <w:rFonts w:hint="eastAsia" w:ascii="宋体" w:hAnsi="宋体" w:eastAsia="宋体" w:cs="宋体"/>
                <w:b/>
                <w:bCs/>
                <w:color w:val="auto"/>
                <w:sz w:val="24"/>
                <w:szCs w:val="24"/>
                <w:highlight w:val="none"/>
              </w:rPr>
              <w:t>提供第三方检测机构出具的测评报告</w:t>
            </w:r>
            <w:r>
              <w:rPr>
                <w:rFonts w:hint="eastAsia" w:ascii="宋体" w:hAnsi="宋体" w:eastAsia="宋体" w:cs="宋体"/>
                <w:b/>
                <w:bCs/>
                <w:color w:val="auto"/>
                <w:sz w:val="24"/>
                <w:szCs w:val="24"/>
                <w:highlight w:val="none"/>
                <w:lang w:val="en-US" w:eastAsia="zh-CN"/>
              </w:rPr>
              <w:t>并加盖供应商公章</w:t>
            </w:r>
            <w:r>
              <w:rPr>
                <w:rFonts w:hint="eastAsia" w:ascii="宋体" w:hAnsi="宋体" w:eastAsia="宋体" w:cs="宋体"/>
                <w:color w:val="auto"/>
                <w:sz w:val="24"/>
                <w:szCs w:val="24"/>
                <w:highlight w:val="none"/>
                <w:lang w:val="en-US" w:eastAsia="zh-CN"/>
              </w:rPr>
              <w:t>。</w:t>
            </w:r>
          </w:p>
          <w:p w14:paraId="06895961">
            <w:pPr>
              <w:spacing w:before="120" w:after="120"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云管理平台软件的代码行级开源率&lt;20%</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成交后签订合同前</w:t>
            </w:r>
            <w:r>
              <w:rPr>
                <w:rFonts w:hint="eastAsia" w:ascii="宋体" w:hAnsi="宋体" w:eastAsia="宋体" w:cs="宋体"/>
                <w:b/>
                <w:bCs/>
                <w:color w:val="auto"/>
                <w:sz w:val="24"/>
                <w:szCs w:val="24"/>
                <w:highlight w:val="none"/>
              </w:rPr>
              <w:t>提供第三方检测机构出具的测评报告</w:t>
            </w:r>
            <w:r>
              <w:rPr>
                <w:rFonts w:hint="eastAsia" w:ascii="宋体" w:hAnsi="宋体" w:eastAsia="宋体" w:cs="宋体"/>
                <w:b/>
                <w:bCs/>
                <w:color w:val="auto"/>
                <w:sz w:val="24"/>
                <w:szCs w:val="24"/>
                <w:highlight w:val="none"/>
                <w:lang w:val="en-US" w:eastAsia="zh-CN"/>
              </w:rPr>
              <w:t>并加盖供应商公章</w:t>
            </w:r>
            <w:r>
              <w:rPr>
                <w:rFonts w:hint="eastAsia" w:ascii="宋体" w:hAnsi="宋体" w:eastAsia="宋体" w:cs="宋体"/>
                <w:color w:val="auto"/>
                <w:sz w:val="24"/>
                <w:szCs w:val="24"/>
                <w:highlight w:val="none"/>
                <w:lang w:val="en-US" w:eastAsia="zh-CN"/>
              </w:rPr>
              <w:t>。</w:t>
            </w:r>
          </w:p>
          <w:p w14:paraId="3C0602EE">
            <w:pPr>
              <w:spacing w:before="120" w:after="120"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6.供应商具有通过中国信息通信研究院评估的内容安全能力检验证书；</w:t>
            </w:r>
            <w:r>
              <w:rPr>
                <w:rFonts w:hint="eastAsia" w:ascii="宋体" w:hAnsi="宋体" w:eastAsia="宋体" w:cs="宋体"/>
                <w:b/>
                <w:bCs/>
                <w:color w:val="auto"/>
                <w:sz w:val="24"/>
                <w:szCs w:val="24"/>
                <w:highlight w:val="none"/>
                <w:lang w:val="en-US" w:eastAsia="zh-CN"/>
              </w:rPr>
              <w:t>响应文件中提供中国信息通信颁发的内容安全能力检验证书并加盖供应商公章。</w:t>
            </w:r>
          </w:p>
          <w:p w14:paraId="1101814D">
            <w:pPr>
              <w:spacing w:line="360" w:lineRule="auto"/>
              <w:rPr>
                <w:rFonts w:hint="default" w:ascii="宋体" w:hAnsi="宋体" w:eastAsia="宋体" w:cs="宋体"/>
                <w:color w:val="auto"/>
                <w:szCs w:val="22"/>
                <w:highlight w:val="none"/>
                <w:lang w:val="en-US" w:eastAsia="zh-CN"/>
              </w:rPr>
            </w:pPr>
            <w:r>
              <w:rPr>
                <w:rFonts w:hint="eastAsia" w:ascii="宋体" w:hAnsi="宋体" w:eastAsia="宋体" w:cs="宋体"/>
                <w:color w:val="auto"/>
                <w:sz w:val="24"/>
                <w:szCs w:val="24"/>
                <w:highlight w:val="none"/>
                <w:lang w:val="en-US" w:eastAsia="zh-CN"/>
              </w:rPr>
              <w:t>7.云服务块存储通过中国信息通信研究院云服务安全能力评估；</w:t>
            </w:r>
            <w:r>
              <w:rPr>
                <w:rFonts w:hint="eastAsia" w:ascii="宋体" w:hAnsi="宋体" w:eastAsia="宋体" w:cs="宋体"/>
                <w:b/>
                <w:bCs/>
                <w:color w:val="auto"/>
                <w:sz w:val="24"/>
                <w:szCs w:val="24"/>
                <w:highlight w:val="none"/>
                <w:lang w:val="en-US" w:eastAsia="zh-CN"/>
              </w:rPr>
              <w:t>响应文件中提供中国信息通信院颁发的云服务安全能力检验证书并加盖供应商公章</w:t>
            </w:r>
            <w:r>
              <w:rPr>
                <w:rFonts w:hint="eastAsia" w:ascii="宋体" w:hAnsi="宋体" w:eastAsia="宋体" w:cs="宋体"/>
                <w:color w:val="auto"/>
                <w:sz w:val="24"/>
                <w:szCs w:val="24"/>
                <w:highlight w:val="none"/>
                <w:lang w:val="en-US" w:eastAsia="zh-CN"/>
              </w:rPr>
              <w:t>。</w:t>
            </w:r>
          </w:p>
        </w:tc>
      </w:tr>
      <w:tr w14:paraId="37BC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3"/>
            <w:shd w:val="clear" w:color="auto" w:fill="auto"/>
            <w:vAlign w:val="center"/>
          </w:tcPr>
          <w:p w14:paraId="311CAF46">
            <w:pPr>
              <w:spacing w:before="120" w:after="12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四、标准备份服务</w:t>
            </w:r>
          </w:p>
        </w:tc>
      </w:tr>
      <w:tr w14:paraId="07FE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005" w:type="dxa"/>
            <w:shd w:val="clear" w:color="auto" w:fill="auto"/>
            <w:vAlign w:val="center"/>
          </w:tcPr>
          <w:p w14:paraId="3D08447D">
            <w:pPr>
              <w:spacing w:before="120" w:after="12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92" w:type="dxa"/>
            <w:shd w:val="clear" w:color="auto" w:fill="auto"/>
            <w:vAlign w:val="center"/>
          </w:tcPr>
          <w:p w14:paraId="3DBA9C78">
            <w:pPr>
              <w:spacing w:before="120" w:after="120"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标准备份服务</w:t>
            </w:r>
          </w:p>
        </w:tc>
        <w:tc>
          <w:tcPr>
            <w:tcW w:w="7417" w:type="dxa"/>
            <w:shd w:val="clear" w:color="auto" w:fill="auto"/>
            <w:vAlign w:val="center"/>
          </w:tcPr>
          <w:p w14:paraId="3E1A781A">
            <w:pPr>
              <w:widowControl/>
              <w:spacing w:line="240" w:lineRule="auto"/>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1、安装实施服务；</w:t>
            </w:r>
          </w:p>
          <w:p w14:paraId="64FDDA67">
            <w:pPr>
              <w:widowControl/>
              <w:spacing w:line="240" w:lineRule="auto"/>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2、提供7*24小时备份应用平台监控及人员响应；</w:t>
            </w:r>
          </w:p>
          <w:p w14:paraId="71F1D8A9">
            <w:pPr>
              <w:widowControl/>
              <w:spacing w:line="240" w:lineRule="auto"/>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3、提供7*8小时服务热线技术咨询；</w:t>
            </w:r>
          </w:p>
          <w:p w14:paraId="052FD82B">
            <w:pPr>
              <w:widowControl/>
              <w:spacing w:line="240" w:lineRule="auto"/>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4、提供备份恢复演练不少于3次、重大事故应急和巡检服务；</w:t>
            </w:r>
          </w:p>
          <w:p w14:paraId="0B62178E">
            <w:pPr>
              <w:widowControl/>
              <w:spacing w:line="240" w:lineRule="auto"/>
              <w:jc w:val="left"/>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5、应急响应服务：出现数据丢失、业务系统故障需要执行服务时提供7*24小时用户现场技术应急响应服务；</w:t>
            </w:r>
          </w:p>
          <w:p w14:paraId="25733549">
            <w:pPr>
              <w:spacing w:before="120" w:after="120" w:line="24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6、数据异地备份后要确保数据安全性、完整性和可用性。备份数据资产属于学校。</w:t>
            </w:r>
          </w:p>
        </w:tc>
      </w:tr>
      <w:tr w14:paraId="039B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3"/>
            <w:shd w:val="clear" w:color="auto" w:fill="auto"/>
            <w:vAlign w:val="center"/>
          </w:tcPr>
          <w:p w14:paraId="3384CA90">
            <w:pPr>
              <w:widowControl/>
              <w:autoSpaceDE w:val="0"/>
              <w:autoSpaceDN w:val="0"/>
              <w:spacing w:before="0" w:after="0" w:line="440" w:lineRule="exact"/>
              <w:ind w:right="0"/>
              <w:jc w:val="left"/>
              <w:rPr>
                <w:rFonts w:hint="eastAsia" w:ascii="宋体" w:hAnsi="宋体" w:eastAsia="宋体" w:cs="宋体"/>
                <w:color w:val="auto"/>
                <w:kern w:val="0"/>
                <w:sz w:val="24"/>
                <w:szCs w:val="24"/>
                <w:lang w:val="zh-CN"/>
              </w:rPr>
            </w:pPr>
            <w:r>
              <w:rPr>
                <w:rFonts w:hint="eastAsia" w:ascii="duG0NA8K+SimSun" w:hAnsi="duG0NA8K+SimSun" w:eastAsia="宋体" w:cs="Times New Roman"/>
                <w:color w:val="auto"/>
                <w:sz w:val="21"/>
                <w:szCs w:val="22"/>
                <w:lang w:val="en-US" w:eastAsia="zh-CN"/>
              </w:rPr>
              <w:t>说明：</w:t>
            </w:r>
            <w:r>
              <w:rPr>
                <w:rFonts w:hint="eastAsia" w:ascii="宋体" w:hAnsi="宋体" w:eastAsia="宋体" w:cs="宋体"/>
                <w:color w:val="auto"/>
                <w:sz w:val="21"/>
                <w:szCs w:val="22"/>
              </w:rPr>
              <w:t>本</w:t>
            </w:r>
            <w:r>
              <w:rPr>
                <w:rFonts w:hint="eastAsia" w:ascii="宋体" w:hAnsi="宋体" w:eastAsia="宋体" w:cs="宋体"/>
                <w:color w:val="auto"/>
                <w:spacing w:val="2"/>
                <w:sz w:val="21"/>
                <w:szCs w:val="22"/>
              </w:rPr>
              <w:t>表</w:t>
            </w:r>
            <w:r>
              <w:rPr>
                <w:rFonts w:hint="eastAsia" w:ascii="宋体" w:hAnsi="宋体" w:eastAsia="宋体" w:cs="宋体"/>
                <w:color w:val="auto"/>
                <w:sz w:val="21"/>
                <w:szCs w:val="22"/>
              </w:rPr>
              <w:t>中</w:t>
            </w:r>
            <w:r>
              <w:rPr>
                <w:rFonts w:hint="eastAsia" w:ascii="宋体" w:hAnsi="宋体" w:eastAsia="宋体" w:cs="宋体"/>
                <w:color w:val="auto"/>
                <w:spacing w:val="2"/>
                <w:sz w:val="21"/>
                <w:szCs w:val="22"/>
              </w:rPr>
              <w:t>要</w:t>
            </w:r>
            <w:r>
              <w:rPr>
                <w:rFonts w:hint="eastAsia" w:ascii="宋体" w:hAnsi="宋体" w:eastAsia="宋体" w:cs="宋体"/>
                <w:color w:val="auto"/>
                <w:sz w:val="21"/>
                <w:szCs w:val="22"/>
              </w:rPr>
              <w:t>求</w:t>
            </w:r>
            <w:r>
              <w:rPr>
                <w:rFonts w:hint="eastAsia" w:ascii="宋体" w:hAnsi="宋体" w:eastAsia="宋体" w:cs="宋体"/>
                <w:color w:val="auto"/>
                <w:spacing w:val="2"/>
                <w:sz w:val="21"/>
                <w:szCs w:val="22"/>
                <w:lang w:val="en-US" w:eastAsia="zh-CN"/>
              </w:rPr>
              <w:t>成交</w:t>
            </w:r>
            <w:r>
              <w:rPr>
                <w:rFonts w:hint="eastAsia" w:ascii="宋体" w:hAnsi="宋体" w:eastAsia="宋体" w:cs="宋体"/>
                <w:color w:val="auto"/>
                <w:spacing w:val="2"/>
                <w:sz w:val="21"/>
                <w:szCs w:val="22"/>
              </w:rPr>
              <w:t>人</w:t>
            </w:r>
            <w:r>
              <w:rPr>
                <w:rFonts w:hint="eastAsia" w:ascii="宋体" w:hAnsi="宋体" w:eastAsia="宋体" w:cs="宋体"/>
                <w:color w:val="auto"/>
                <w:sz w:val="21"/>
                <w:szCs w:val="22"/>
              </w:rPr>
              <w:t>在</w:t>
            </w:r>
            <w:r>
              <w:rPr>
                <w:rFonts w:hint="eastAsia" w:ascii="宋体" w:hAnsi="宋体" w:eastAsia="宋体" w:cs="宋体"/>
                <w:color w:val="auto"/>
                <w:spacing w:val="2"/>
                <w:sz w:val="21"/>
                <w:szCs w:val="22"/>
                <w:lang w:val="en-US" w:eastAsia="zh-CN"/>
              </w:rPr>
              <w:t>成交</w:t>
            </w:r>
            <w:r>
              <w:rPr>
                <w:rFonts w:hint="eastAsia" w:ascii="宋体" w:hAnsi="宋体" w:eastAsia="宋体" w:cs="宋体"/>
                <w:color w:val="auto"/>
                <w:szCs w:val="22"/>
              </w:rPr>
              <w:t>后</w:t>
            </w:r>
            <w:r>
              <w:rPr>
                <w:rFonts w:hint="eastAsia" w:ascii="宋体" w:hAnsi="宋体" w:eastAsia="宋体" w:cs="宋体"/>
                <w:color w:val="auto"/>
                <w:szCs w:val="22"/>
                <w:lang w:val="en-US" w:eastAsia="zh-CN"/>
              </w:rPr>
              <w:t>签订合同</w:t>
            </w:r>
            <w:r>
              <w:rPr>
                <w:rFonts w:hint="eastAsia" w:ascii="宋体" w:hAnsi="宋体" w:eastAsia="宋体" w:cs="宋体"/>
                <w:color w:val="auto"/>
                <w:szCs w:val="22"/>
              </w:rPr>
              <w:t>前向采购人提供的证明材料的，若</w:t>
            </w:r>
            <w:r>
              <w:rPr>
                <w:rFonts w:hint="eastAsia" w:ascii="宋体" w:hAnsi="宋体" w:eastAsia="宋体" w:cs="宋体"/>
                <w:color w:val="auto"/>
                <w:szCs w:val="22"/>
                <w:lang w:val="en-US" w:eastAsia="zh-CN"/>
              </w:rPr>
              <w:t>成交</w:t>
            </w:r>
            <w:r>
              <w:rPr>
                <w:rFonts w:hint="eastAsia" w:ascii="宋体" w:hAnsi="宋体" w:eastAsia="宋体" w:cs="宋体"/>
                <w:color w:val="auto"/>
                <w:spacing w:val="-2"/>
                <w:sz w:val="21"/>
                <w:szCs w:val="22"/>
              </w:rPr>
              <w:t>人不</w:t>
            </w:r>
            <w:r>
              <w:rPr>
                <w:rFonts w:hint="eastAsia" w:ascii="宋体" w:hAnsi="宋体" w:eastAsia="宋体" w:cs="宋体"/>
                <w:color w:val="auto"/>
                <w:sz w:val="21"/>
                <w:szCs w:val="22"/>
              </w:rPr>
              <w:t>能提</w:t>
            </w:r>
            <w:r>
              <w:rPr>
                <w:rFonts w:hint="eastAsia" w:ascii="宋体" w:hAnsi="宋体" w:eastAsia="宋体" w:cs="宋体"/>
                <w:color w:val="auto"/>
                <w:spacing w:val="-2"/>
                <w:sz w:val="21"/>
                <w:szCs w:val="22"/>
              </w:rPr>
              <w:t>供</w:t>
            </w:r>
            <w:r>
              <w:rPr>
                <w:rFonts w:hint="eastAsia" w:ascii="宋体" w:hAnsi="宋体" w:eastAsia="宋体" w:cs="宋体"/>
                <w:color w:val="auto"/>
                <w:sz w:val="21"/>
                <w:szCs w:val="22"/>
              </w:rPr>
              <w:t>证</w:t>
            </w:r>
            <w:r>
              <w:rPr>
                <w:rFonts w:hint="eastAsia" w:ascii="宋体" w:hAnsi="宋体" w:eastAsia="宋体" w:cs="宋体"/>
                <w:color w:val="auto"/>
                <w:spacing w:val="-2"/>
                <w:sz w:val="21"/>
                <w:szCs w:val="22"/>
              </w:rPr>
              <w:t>明</w:t>
            </w:r>
            <w:r>
              <w:rPr>
                <w:rFonts w:hint="eastAsia" w:ascii="宋体" w:hAnsi="宋体" w:eastAsia="宋体" w:cs="宋体"/>
                <w:color w:val="auto"/>
                <w:sz w:val="21"/>
                <w:szCs w:val="22"/>
              </w:rPr>
              <w:t>材料</w:t>
            </w:r>
            <w:r>
              <w:rPr>
                <w:rFonts w:hint="eastAsia" w:ascii="宋体" w:hAnsi="宋体" w:eastAsia="宋体" w:cs="宋体"/>
                <w:color w:val="auto"/>
                <w:spacing w:val="-2"/>
                <w:sz w:val="21"/>
                <w:szCs w:val="22"/>
              </w:rPr>
              <w:t>或提</w:t>
            </w:r>
            <w:r>
              <w:rPr>
                <w:rFonts w:hint="eastAsia" w:ascii="宋体" w:hAnsi="宋体" w:eastAsia="宋体" w:cs="宋体"/>
                <w:color w:val="auto"/>
                <w:sz w:val="21"/>
                <w:szCs w:val="22"/>
              </w:rPr>
              <w:t>供的证</w:t>
            </w:r>
            <w:r>
              <w:rPr>
                <w:rFonts w:hint="eastAsia" w:ascii="宋体" w:hAnsi="宋体" w:eastAsia="宋体" w:cs="宋体"/>
                <w:color w:val="auto"/>
                <w:spacing w:val="-2"/>
                <w:sz w:val="21"/>
                <w:szCs w:val="22"/>
              </w:rPr>
              <w:t>明</w:t>
            </w:r>
            <w:r>
              <w:rPr>
                <w:rFonts w:hint="eastAsia" w:ascii="宋体" w:hAnsi="宋体" w:eastAsia="宋体" w:cs="宋体"/>
                <w:color w:val="auto"/>
                <w:sz w:val="21"/>
                <w:szCs w:val="22"/>
              </w:rPr>
              <w:t>材料的</w:t>
            </w:r>
            <w:r>
              <w:rPr>
                <w:rFonts w:hint="eastAsia" w:ascii="宋体" w:hAnsi="宋体" w:eastAsia="宋体" w:cs="宋体"/>
                <w:color w:val="auto"/>
                <w:spacing w:val="-4"/>
                <w:sz w:val="21"/>
                <w:szCs w:val="22"/>
              </w:rPr>
              <w:t>内</w:t>
            </w:r>
            <w:r>
              <w:rPr>
                <w:rFonts w:hint="eastAsia" w:ascii="宋体" w:hAnsi="宋体" w:eastAsia="宋体" w:cs="宋体"/>
                <w:color w:val="auto"/>
                <w:sz w:val="21"/>
                <w:szCs w:val="22"/>
              </w:rPr>
              <w:t>容</w:t>
            </w:r>
            <w:r>
              <w:rPr>
                <w:rFonts w:hint="eastAsia" w:ascii="宋体" w:hAnsi="宋体" w:eastAsia="宋体" w:cs="宋体"/>
                <w:color w:val="auto"/>
                <w:spacing w:val="-2"/>
                <w:sz w:val="21"/>
                <w:szCs w:val="22"/>
              </w:rPr>
              <w:t>与</w:t>
            </w:r>
            <w:r>
              <w:rPr>
                <w:rFonts w:hint="eastAsia" w:ascii="宋体" w:hAnsi="宋体" w:eastAsia="宋体" w:cs="宋体"/>
                <w:color w:val="auto"/>
                <w:sz w:val="21"/>
                <w:szCs w:val="22"/>
              </w:rPr>
              <w:t>参数</w:t>
            </w:r>
            <w:r>
              <w:rPr>
                <w:rFonts w:hint="eastAsia" w:ascii="宋体" w:hAnsi="宋体" w:eastAsia="宋体" w:cs="宋体"/>
                <w:color w:val="auto"/>
                <w:spacing w:val="-10"/>
                <w:sz w:val="21"/>
                <w:szCs w:val="22"/>
              </w:rPr>
              <w:t>不符</w:t>
            </w:r>
            <w:r>
              <w:rPr>
                <w:rFonts w:hint="eastAsia" w:ascii="宋体" w:hAnsi="宋体" w:eastAsia="宋体" w:cs="宋体"/>
                <w:color w:val="auto"/>
                <w:spacing w:val="-30"/>
                <w:sz w:val="21"/>
                <w:szCs w:val="22"/>
              </w:rPr>
              <w:t>，</w:t>
            </w:r>
            <w:r>
              <w:rPr>
                <w:rFonts w:hint="eastAsia" w:ascii="宋体" w:hAnsi="宋体" w:eastAsia="宋体" w:cs="宋体"/>
                <w:color w:val="auto"/>
                <w:spacing w:val="-10"/>
                <w:sz w:val="21"/>
                <w:szCs w:val="22"/>
              </w:rPr>
              <w:t>采</w:t>
            </w:r>
            <w:r>
              <w:rPr>
                <w:rFonts w:hint="eastAsia" w:ascii="宋体" w:hAnsi="宋体" w:eastAsia="宋体" w:cs="宋体"/>
                <w:color w:val="auto"/>
                <w:spacing w:val="-8"/>
                <w:sz w:val="21"/>
                <w:szCs w:val="22"/>
              </w:rPr>
              <w:t>购</w:t>
            </w:r>
            <w:r>
              <w:rPr>
                <w:rFonts w:hint="eastAsia" w:ascii="宋体" w:hAnsi="宋体" w:eastAsia="宋体" w:cs="宋体"/>
                <w:color w:val="auto"/>
                <w:spacing w:val="-10"/>
                <w:sz w:val="21"/>
                <w:szCs w:val="22"/>
              </w:rPr>
              <w:t>人有</w:t>
            </w:r>
            <w:r>
              <w:rPr>
                <w:rFonts w:hint="eastAsia" w:ascii="宋体" w:hAnsi="宋体" w:eastAsia="宋体" w:cs="宋体"/>
                <w:color w:val="auto"/>
                <w:spacing w:val="-8"/>
                <w:sz w:val="21"/>
                <w:szCs w:val="22"/>
              </w:rPr>
              <w:t>权</w:t>
            </w:r>
            <w:r>
              <w:rPr>
                <w:rFonts w:hint="eastAsia" w:ascii="宋体" w:hAnsi="宋体" w:eastAsia="宋体" w:cs="宋体"/>
                <w:color w:val="auto"/>
                <w:spacing w:val="-10"/>
                <w:sz w:val="21"/>
                <w:szCs w:val="22"/>
              </w:rPr>
              <w:t>向</w:t>
            </w:r>
            <w:r>
              <w:rPr>
                <w:rFonts w:hint="eastAsia" w:ascii="宋体" w:hAnsi="宋体" w:eastAsia="宋体" w:cs="宋体"/>
                <w:color w:val="auto"/>
                <w:spacing w:val="-6"/>
                <w:sz w:val="21"/>
                <w:szCs w:val="22"/>
              </w:rPr>
              <w:t>监</w:t>
            </w:r>
            <w:r>
              <w:rPr>
                <w:rFonts w:hint="eastAsia" w:ascii="宋体" w:hAnsi="宋体" w:eastAsia="宋体" w:cs="宋体"/>
                <w:color w:val="auto"/>
                <w:spacing w:val="-10"/>
                <w:sz w:val="21"/>
                <w:szCs w:val="22"/>
              </w:rPr>
              <w:t>督管</w:t>
            </w:r>
            <w:r>
              <w:rPr>
                <w:rFonts w:hint="eastAsia" w:ascii="宋体" w:hAnsi="宋体" w:eastAsia="宋体" w:cs="宋体"/>
                <w:color w:val="auto"/>
                <w:spacing w:val="-6"/>
                <w:sz w:val="21"/>
                <w:szCs w:val="22"/>
              </w:rPr>
              <w:t>理</w:t>
            </w:r>
            <w:r>
              <w:rPr>
                <w:rFonts w:hint="eastAsia" w:ascii="宋体" w:hAnsi="宋体" w:eastAsia="宋体" w:cs="宋体"/>
                <w:color w:val="auto"/>
                <w:spacing w:val="-10"/>
                <w:sz w:val="21"/>
                <w:szCs w:val="22"/>
              </w:rPr>
              <w:t>部门</w:t>
            </w:r>
            <w:r>
              <w:rPr>
                <w:rFonts w:hint="eastAsia" w:ascii="宋体" w:hAnsi="宋体" w:eastAsia="宋体" w:cs="宋体"/>
                <w:color w:val="auto"/>
                <w:spacing w:val="-6"/>
                <w:sz w:val="21"/>
                <w:szCs w:val="22"/>
              </w:rPr>
              <w:t>反</w:t>
            </w:r>
            <w:r>
              <w:rPr>
                <w:rFonts w:hint="eastAsia" w:ascii="宋体" w:hAnsi="宋体" w:eastAsia="宋体" w:cs="宋体"/>
                <w:color w:val="auto"/>
                <w:spacing w:val="-10"/>
                <w:sz w:val="21"/>
                <w:szCs w:val="22"/>
              </w:rPr>
              <w:t>映情况</w:t>
            </w:r>
            <w:r>
              <w:rPr>
                <w:rFonts w:hint="eastAsia" w:ascii="宋体" w:hAnsi="宋体" w:eastAsia="宋体" w:cs="宋体"/>
                <w:color w:val="auto"/>
                <w:spacing w:val="-30"/>
                <w:sz w:val="21"/>
                <w:szCs w:val="22"/>
              </w:rPr>
              <w:t>，</w:t>
            </w:r>
            <w:r>
              <w:rPr>
                <w:rFonts w:hint="eastAsia" w:ascii="宋体" w:hAnsi="宋体" w:eastAsia="宋体" w:cs="宋体"/>
                <w:color w:val="auto"/>
                <w:spacing w:val="-10"/>
                <w:sz w:val="21"/>
                <w:szCs w:val="22"/>
              </w:rPr>
              <w:t>造</w:t>
            </w:r>
            <w:r>
              <w:rPr>
                <w:rFonts w:hint="eastAsia" w:ascii="宋体" w:hAnsi="宋体" w:eastAsia="宋体" w:cs="宋体"/>
                <w:color w:val="auto"/>
                <w:spacing w:val="-6"/>
                <w:sz w:val="21"/>
                <w:szCs w:val="22"/>
              </w:rPr>
              <w:t>成</w:t>
            </w:r>
            <w:r>
              <w:rPr>
                <w:rFonts w:hint="eastAsia" w:ascii="宋体" w:hAnsi="宋体" w:eastAsia="宋体" w:cs="宋体"/>
                <w:color w:val="auto"/>
                <w:spacing w:val="-10"/>
                <w:sz w:val="21"/>
                <w:szCs w:val="22"/>
              </w:rPr>
              <w:t>的一</w:t>
            </w:r>
            <w:r>
              <w:rPr>
                <w:rFonts w:hint="eastAsia" w:ascii="宋体" w:hAnsi="宋体" w:eastAsia="宋体" w:cs="宋体"/>
                <w:color w:val="auto"/>
                <w:spacing w:val="-6"/>
                <w:sz w:val="21"/>
                <w:szCs w:val="22"/>
              </w:rPr>
              <w:t>切</w:t>
            </w:r>
            <w:r>
              <w:rPr>
                <w:rFonts w:hint="eastAsia" w:ascii="宋体" w:hAnsi="宋体" w:eastAsia="宋体" w:cs="宋体"/>
                <w:color w:val="auto"/>
                <w:spacing w:val="-10"/>
                <w:sz w:val="21"/>
                <w:szCs w:val="22"/>
              </w:rPr>
              <w:t>损失</w:t>
            </w:r>
            <w:r>
              <w:rPr>
                <w:rFonts w:hint="eastAsia" w:ascii="宋体" w:hAnsi="宋体" w:eastAsia="宋体" w:cs="宋体"/>
                <w:color w:val="auto"/>
                <w:spacing w:val="-8"/>
                <w:sz w:val="21"/>
                <w:szCs w:val="22"/>
              </w:rPr>
              <w:t>由</w:t>
            </w:r>
            <w:r>
              <w:rPr>
                <w:rFonts w:hint="eastAsia" w:ascii="宋体" w:hAnsi="宋体" w:eastAsia="宋体" w:cs="宋体"/>
                <w:color w:val="auto"/>
                <w:spacing w:val="-10"/>
                <w:sz w:val="21"/>
                <w:szCs w:val="22"/>
              </w:rPr>
              <w:t>成</w:t>
            </w:r>
            <w:r>
              <w:rPr>
                <w:rFonts w:hint="eastAsia" w:ascii="宋体" w:hAnsi="宋体" w:eastAsia="宋体" w:cs="宋体"/>
                <w:color w:val="auto"/>
                <w:spacing w:val="-8"/>
                <w:sz w:val="21"/>
                <w:szCs w:val="22"/>
              </w:rPr>
              <w:t>交</w:t>
            </w:r>
            <w:r>
              <w:rPr>
                <w:rFonts w:hint="eastAsia" w:ascii="宋体" w:hAnsi="宋体" w:eastAsia="宋体" w:cs="宋体"/>
                <w:color w:val="auto"/>
                <w:spacing w:val="-10"/>
                <w:sz w:val="21"/>
                <w:szCs w:val="22"/>
              </w:rPr>
              <w:t>人</w:t>
            </w:r>
            <w:r>
              <w:rPr>
                <w:rFonts w:hint="eastAsia" w:ascii="宋体" w:hAnsi="宋体" w:eastAsia="宋体" w:cs="宋体"/>
                <w:color w:val="auto"/>
                <w:spacing w:val="-12"/>
                <w:sz w:val="21"/>
                <w:szCs w:val="22"/>
              </w:rPr>
              <w:t>自</w:t>
            </w:r>
            <w:r>
              <w:rPr>
                <w:rFonts w:hint="eastAsia" w:ascii="宋体" w:hAnsi="宋体" w:eastAsia="宋体" w:cs="宋体"/>
                <w:color w:val="auto"/>
                <w:sz w:val="21"/>
                <w:szCs w:val="22"/>
              </w:rPr>
              <w:t>行</w:t>
            </w:r>
            <w:r>
              <w:rPr>
                <w:rFonts w:hint="eastAsia" w:ascii="宋体" w:hAnsi="宋体" w:eastAsia="宋体" w:cs="宋体"/>
                <w:color w:val="auto"/>
                <w:spacing w:val="-12"/>
                <w:sz w:val="21"/>
                <w:szCs w:val="22"/>
              </w:rPr>
              <w:t>承</w:t>
            </w:r>
            <w:r>
              <w:rPr>
                <w:rFonts w:hint="eastAsia" w:ascii="宋体" w:hAnsi="宋体" w:eastAsia="宋体" w:cs="宋体"/>
                <w:color w:val="auto"/>
                <w:spacing w:val="-10"/>
                <w:sz w:val="21"/>
                <w:szCs w:val="22"/>
              </w:rPr>
              <w:t>担</w:t>
            </w:r>
            <w:r>
              <w:rPr>
                <w:rFonts w:hint="eastAsia" w:ascii="宋体" w:hAnsi="宋体" w:eastAsia="宋体" w:cs="宋体"/>
                <w:color w:val="auto"/>
                <w:sz w:val="21"/>
                <w:szCs w:val="22"/>
              </w:rPr>
              <w:t>。</w:t>
            </w:r>
          </w:p>
        </w:tc>
      </w:tr>
    </w:tbl>
    <w:p w14:paraId="4906784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lang w:val="en-US" w:eastAsia="zh-CN"/>
        </w:rPr>
      </w:pP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三</w:t>
      </w:r>
      <w:r>
        <w:rPr>
          <w:rFonts w:hint="eastAsia" w:ascii="宋体" w:hAnsi="宋体" w:eastAsia="宋体" w:cs="宋体"/>
          <w:szCs w:val="22"/>
          <w:highlight w:val="none"/>
          <w:lang w:eastAsia="zh-CN"/>
        </w:rPr>
        <w:t>）甲方对乙方服务质量进行考核，服务质量综合考评得分不得低于90分时，作为是否续签合同的依据。</w:t>
      </w:r>
      <w:r>
        <w:rPr>
          <w:rFonts w:hint="eastAsia" w:ascii="宋体" w:hAnsi="宋体" w:eastAsia="宋体" w:cs="宋体"/>
          <w:szCs w:val="22"/>
          <w:highlight w:val="none"/>
          <w:lang w:val="en-US" w:eastAsia="zh-CN"/>
        </w:rPr>
        <w:t>注：异地备份服务质量考核见附件</w:t>
      </w:r>
    </w:p>
    <w:p w14:paraId="38819429">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384E5D08">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36A7D2B0">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1B32FD09">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33642FFF">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32928CE1">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01F5F6A3">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122FF84F">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431380EE">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565306DF">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5869646D">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4F998760">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0A0C1320">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15405B32">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483A502D">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5C2173DB">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469BD433">
      <w:pPr>
        <w:pageBreakBefore w:val="0"/>
        <w:widowControl w:val="0"/>
        <w:numPr>
          <w:ilvl w:val="0"/>
          <w:numId w:val="0"/>
        </w:numPr>
        <w:kinsoku/>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异地备份服务质量考核表</w:t>
      </w:r>
    </w:p>
    <w:p w14:paraId="4748C991">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p w14:paraId="01DAB896">
      <w:pPr>
        <w:pageBreakBefore w:val="0"/>
        <w:widowControl w:val="0"/>
        <w:numPr>
          <w:ilvl w:val="0"/>
          <w:numId w:val="0"/>
        </w:numPr>
        <w:kinsoku/>
        <w:overflowPunct/>
        <w:topLinePunct w:val="0"/>
        <w:autoSpaceDE/>
        <w:autoSpaceDN/>
        <w:bidi w:val="0"/>
        <w:adjustRightInd/>
        <w:snapToGrid/>
        <w:spacing w:line="360" w:lineRule="auto"/>
        <w:textAlignment w:val="auto"/>
        <w:rPr>
          <w:rFonts w:hint="eastAsia" w:ascii="Times New Roman" w:hAnsi="Times New Roman" w:eastAsia="宋体" w:cs="Times New Roman"/>
          <w:lang w:eastAsia="zh-CN"/>
        </w:rPr>
      </w:pPr>
    </w:p>
    <w:tbl>
      <w:tblPr>
        <w:tblStyle w:val="3"/>
        <w:tblpPr w:leftFromText="180" w:rightFromText="180" w:vertAnchor="page" w:horzAnchor="page" w:tblpX="1905" w:tblpY="2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324"/>
        <w:gridCol w:w="1856"/>
        <w:gridCol w:w="3858"/>
        <w:gridCol w:w="884"/>
      </w:tblGrid>
      <w:tr w14:paraId="2CEF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96" w:type="dxa"/>
            <w:noWrap w:val="0"/>
            <w:vAlign w:val="center"/>
          </w:tcPr>
          <w:p w14:paraId="0C36941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324" w:type="dxa"/>
            <w:noWrap w:val="0"/>
            <w:vAlign w:val="center"/>
          </w:tcPr>
          <w:p w14:paraId="29DC5EF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考核内容</w:t>
            </w:r>
          </w:p>
        </w:tc>
        <w:tc>
          <w:tcPr>
            <w:tcW w:w="1856" w:type="dxa"/>
            <w:noWrap w:val="0"/>
            <w:vAlign w:val="center"/>
          </w:tcPr>
          <w:p w14:paraId="6C023F63">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考核指标</w:t>
            </w:r>
          </w:p>
        </w:tc>
        <w:tc>
          <w:tcPr>
            <w:tcW w:w="3858" w:type="dxa"/>
            <w:noWrap w:val="0"/>
            <w:vAlign w:val="center"/>
          </w:tcPr>
          <w:p w14:paraId="78EBD4A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考核标准</w:t>
            </w:r>
          </w:p>
        </w:tc>
        <w:tc>
          <w:tcPr>
            <w:tcW w:w="884" w:type="dxa"/>
            <w:noWrap w:val="0"/>
            <w:vAlign w:val="center"/>
          </w:tcPr>
          <w:p w14:paraId="6BD5C67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分值</w:t>
            </w:r>
          </w:p>
        </w:tc>
      </w:tr>
      <w:tr w14:paraId="2BF0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96" w:type="dxa"/>
            <w:noWrap w:val="0"/>
            <w:vAlign w:val="center"/>
          </w:tcPr>
          <w:p w14:paraId="45AFFEC8">
            <w:pPr>
              <w:jc w:val="center"/>
              <w:rPr>
                <w:rFonts w:hint="eastAsia" w:ascii="宋体" w:hAnsi="宋体" w:eastAsia="宋体" w:cs="宋体"/>
                <w:sz w:val="24"/>
                <w:szCs w:val="24"/>
                <w:vertAlign w:val="baseline"/>
                <w:lang w:val="en-US" w:eastAsia="zh-CN"/>
              </w:rPr>
            </w:pPr>
          </w:p>
        </w:tc>
        <w:tc>
          <w:tcPr>
            <w:tcW w:w="1324" w:type="dxa"/>
            <w:noWrap w:val="0"/>
            <w:vAlign w:val="center"/>
          </w:tcPr>
          <w:p w14:paraId="3F645EE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服务态度</w:t>
            </w:r>
          </w:p>
        </w:tc>
        <w:tc>
          <w:tcPr>
            <w:tcW w:w="1856" w:type="dxa"/>
            <w:noWrap w:val="0"/>
            <w:vAlign w:val="center"/>
          </w:tcPr>
          <w:p w14:paraId="4038696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全年投诉情况</w:t>
            </w:r>
          </w:p>
        </w:tc>
        <w:tc>
          <w:tcPr>
            <w:tcW w:w="3858" w:type="dxa"/>
            <w:noWrap w:val="0"/>
            <w:vAlign w:val="center"/>
          </w:tcPr>
          <w:p w14:paraId="195C8E7F">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包括项目经理、技术负责人、运维工程师的服务态度，其中任何人被投诉一次扣1分</w:t>
            </w:r>
          </w:p>
        </w:tc>
        <w:tc>
          <w:tcPr>
            <w:tcW w:w="884" w:type="dxa"/>
            <w:noWrap w:val="0"/>
            <w:vAlign w:val="center"/>
          </w:tcPr>
          <w:p w14:paraId="6DA447B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r>
      <w:tr w14:paraId="6292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96" w:type="dxa"/>
            <w:noWrap w:val="0"/>
            <w:vAlign w:val="center"/>
          </w:tcPr>
          <w:p w14:paraId="1436A94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24" w:type="dxa"/>
            <w:vMerge w:val="restart"/>
            <w:noWrap w:val="0"/>
            <w:vAlign w:val="center"/>
          </w:tcPr>
          <w:p w14:paraId="1A59B68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运行维护</w:t>
            </w:r>
          </w:p>
          <w:p w14:paraId="790DB62D">
            <w:pPr>
              <w:jc w:val="center"/>
              <w:rPr>
                <w:rFonts w:hint="eastAsia" w:ascii="宋体" w:hAnsi="宋体" w:eastAsia="宋体" w:cs="宋体"/>
                <w:sz w:val="24"/>
                <w:szCs w:val="24"/>
                <w:vertAlign w:val="baseline"/>
                <w:lang w:val="en-US" w:eastAsia="zh-CN"/>
              </w:rPr>
            </w:pPr>
          </w:p>
        </w:tc>
        <w:tc>
          <w:tcPr>
            <w:tcW w:w="1856" w:type="dxa"/>
            <w:noWrap w:val="0"/>
            <w:vAlign w:val="center"/>
          </w:tcPr>
          <w:p w14:paraId="11A0B7C1">
            <w:pPr>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报告不低于11份</w:t>
            </w:r>
          </w:p>
        </w:tc>
        <w:tc>
          <w:tcPr>
            <w:tcW w:w="3858" w:type="dxa"/>
            <w:noWrap w:val="0"/>
            <w:vAlign w:val="center"/>
          </w:tcPr>
          <w:p w14:paraId="3FC846F7">
            <w:pPr>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一次对云主机工作状态、定制化业务应用、接口数据传输、数据备份等进行巡检，查看并记录后端软硬件运行状况及告警信息；实时监控运行状况，监控内容包括运行状态、cpu、内存占用率等进行巡检、监控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缺失</w:t>
            </w:r>
            <w:r>
              <w:rPr>
                <w:rFonts w:hint="eastAsia" w:ascii="宋体" w:hAnsi="宋体" w:eastAsia="宋体" w:cs="宋体"/>
                <w:sz w:val="24"/>
                <w:szCs w:val="24"/>
                <w:highlight w:val="none"/>
                <w:lang w:val="en-US" w:eastAsia="zh-CN"/>
              </w:rPr>
              <w:t>一次报告</w:t>
            </w:r>
            <w:r>
              <w:rPr>
                <w:rFonts w:hint="eastAsia" w:ascii="宋体" w:hAnsi="宋体" w:eastAsia="宋体" w:cs="宋体"/>
                <w:sz w:val="24"/>
                <w:szCs w:val="24"/>
                <w:highlight w:val="none"/>
              </w:rPr>
              <w:t>扣1分。</w:t>
            </w:r>
          </w:p>
        </w:tc>
        <w:tc>
          <w:tcPr>
            <w:tcW w:w="884" w:type="dxa"/>
            <w:noWrap w:val="0"/>
            <w:vAlign w:val="center"/>
          </w:tcPr>
          <w:p w14:paraId="40347845">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14:paraId="29CE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14:paraId="3699D9B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24" w:type="dxa"/>
            <w:vMerge w:val="continue"/>
            <w:noWrap w:val="0"/>
            <w:vAlign w:val="center"/>
          </w:tcPr>
          <w:p w14:paraId="738C7E37">
            <w:pPr>
              <w:jc w:val="center"/>
              <w:rPr>
                <w:rFonts w:hint="eastAsia" w:ascii="宋体" w:hAnsi="宋体" w:eastAsia="宋体" w:cs="宋体"/>
                <w:sz w:val="24"/>
                <w:szCs w:val="24"/>
                <w:vertAlign w:val="baseline"/>
                <w:lang w:val="en-US" w:eastAsia="zh-CN"/>
              </w:rPr>
            </w:pPr>
          </w:p>
        </w:tc>
        <w:tc>
          <w:tcPr>
            <w:tcW w:w="1856" w:type="dxa"/>
            <w:noWrap w:val="0"/>
            <w:vAlign w:val="center"/>
          </w:tcPr>
          <w:p w14:paraId="121D34C2">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报告不低于11份</w:t>
            </w:r>
          </w:p>
        </w:tc>
        <w:tc>
          <w:tcPr>
            <w:tcW w:w="3858" w:type="dxa"/>
            <w:noWrap w:val="0"/>
            <w:vAlign w:val="center"/>
          </w:tcPr>
          <w:p w14:paraId="409E2632">
            <w:pPr>
              <w:jc w:val="left"/>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月</w:t>
            </w:r>
            <w:r>
              <w:rPr>
                <w:rFonts w:hint="eastAsia" w:ascii="宋体" w:hAnsi="宋体" w:eastAsia="宋体" w:cs="宋体"/>
                <w:sz w:val="24"/>
                <w:szCs w:val="24"/>
                <w:highlight w:val="none"/>
              </w:rPr>
              <w:t>一次对云主机、相关数据存储、备份、定制化业务应用等进行例行维护</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缺失</w:t>
            </w:r>
            <w:r>
              <w:rPr>
                <w:rFonts w:hint="eastAsia" w:ascii="宋体" w:hAnsi="宋体" w:eastAsia="宋体" w:cs="宋体"/>
                <w:sz w:val="24"/>
                <w:szCs w:val="24"/>
                <w:highlight w:val="none"/>
                <w:lang w:val="en-US" w:eastAsia="zh-CN"/>
              </w:rPr>
              <w:t>一次报告</w:t>
            </w:r>
            <w:r>
              <w:rPr>
                <w:rFonts w:hint="eastAsia" w:ascii="宋体" w:hAnsi="宋体" w:eastAsia="宋体" w:cs="宋体"/>
                <w:sz w:val="24"/>
                <w:szCs w:val="24"/>
                <w:highlight w:val="none"/>
              </w:rPr>
              <w:t>扣1分。</w:t>
            </w:r>
          </w:p>
        </w:tc>
        <w:tc>
          <w:tcPr>
            <w:tcW w:w="884" w:type="dxa"/>
            <w:noWrap w:val="0"/>
            <w:vAlign w:val="center"/>
          </w:tcPr>
          <w:p w14:paraId="24BE16F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14:paraId="3EE0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14:paraId="1C8BA5F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324" w:type="dxa"/>
            <w:vMerge w:val="continue"/>
            <w:noWrap w:val="0"/>
            <w:vAlign w:val="center"/>
          </w:tcPr>
          <w:p w14:paraId="0624AB6C">
            <w:pPr>
              <w:jc w:val="center"/>
              <w:rPr>
                <w:rFonts w:hint="eastAsia" w:ascii="宋体" w:hAnsi="宋体" w:eastAsia="宋体" w:cs="宋体"/>
                <w:sz w:val="24"/>
                <w:szCs w:val="24"/>
                <w:vertAlign w:val="baseline"/>
                <w:lang w:val="en-US" w:eastAsia="zh-CN"/>
              </w:rPr>
            </w:pPr>
          </w:p>
        </w:tc>
        <w:tc>
          <w:tcPr>
            <w:tcW w:w="1856" w:type="dxa"/>
            <w:noWrap w:val="0"/>
            <w:vAlign w:val="center"/>
          </w:tcPr>
          <w:p w14:paraId="7608983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响应式维护</w:t>
            </w:r>
          </w:p>
        </w:tc>
        <w:tc>
          <w:tcPr>
            <w:tcW w:w="3858" w:type="dxa"/>
            <w:noWrap w:val="0"/>
            <w:vAlign w:val="center"/>
          </w:tcPr>
          <w:p w14:paraId="04BEA9CB">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根据需要及时对云主机、相关数据存储、备份、定制化业务应用等进行响应式维护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并提供响应维护报告</w:t>
            </w:r>
            <w:r>
              <w:rPr>
                <w:rFonts w:hint="eastAsia" w:ascii="宋体" w:hAnsi="宋体" w:eastAsia="宋体" w:cs="宋体"/>
                <w:sz w:val="24"/>
                <w:szCs w:val="24"/>
              </w:rPr>
              <w:t>。</w:t>
            </w:r>
            <w:r>
              <w:rPr>
                <w:rFonts w:hint="eastAsia" w:ascii="宋体" w:hAnsi="宋体" w:eastAsia="宋体" w:cs="宋体"/>
                <w:sz w:val="24"/>
                <w:szCs w:val="24"/>
                <w:lang w:val="en-US" w:eastAsia="zh-CN"/>
              </w:rPr>
              <w:t>每发现一次</w:t>
            </w:r>
            <w:r>
              <w:rPr>
                <w:rFonts w:hint="eastAsia" w:ascii="宋体" w:hAnsi="宋体" w:eastAsia="宋体" w:cs="宋体"/>
                <w:sz w:val="24"/>
                <w:szCs w:val="24"/>
              </w:rPr>
              <w:t>未按要求进行响应式维护，扣4分。</w:t>
            </w:r>
            <w:r>
              <w:rPr>
                <w:rFonts w:hint="eastAsia" w:ascii="宋体" w:hAnsi="宋体" w:eastAsia="宋体" w:cs="宋体"/>
                <w:sz w:val="24"/>
                <w:szCs w:val="24"/>
                <w:highlight w:val="none"/>
                <w:lang w:val="en-US" w:eastAsia="zh-CN"/>
              </w:rPr>
              <w:t>直到扣完为止。</w:t>
            </w:r>
          </w:p>
        </w:tc>
        <w:tc>
          <w:tcPr>
            <w:tcW w:w="884" w:type="dxa"/>
            <w:noWrap w:val="0"/>
            <w:vAlign w:val="center"/>
          </w:tcPr>
          <w:p w14:paraId="46C6029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14:paraId="5DF1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14:paraId="6197D3C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324" w:type="dxa"/>
            <w:vMerge w:val="restart"/>
            <w:noWrap w:val="0"/>
            <w:vAlign w:val="center"/>
          </w:tcPr>
          <w:p w14:paraId="74F6B671">
            <w:pPr>
              <w:jc w:val="center"/>
              <w:rPr>
                <w:rFonts w:hint="eastAsia" w:ascii="宋体" w:hAnsi="宋体" w:eastAsia="宋体" w:cs="宋体"/>
                <w:sz w:val="24"/>
                <w:szCs w:val="24"/>
              </w:rPr>
            </w:pPr>
            <w:r>
              <w:rPr>
                <w:rFonts w:hint="eastAsia" w:ascii="宋体" w:hAnsi="宋体" w:eastAsia="宋体" w:cs="宋体"/>
                <w:sz w:val="24"/>
                <w:szCs w:val="24"/>
              </w:rPr>
              <w:t>服务指标</w:t>
            </w:r>
            <w:r>
              <w:rPr>
                <w:rFonts w:hint="eastAsia" w:ascii="宋体" w:hAnsi="宋体" w:eastAsia="宋体" w:cs="宋体"/>
                <w:sz w:val="24"/>
                <w:szCs w:val="24"/>
                <w:lang w:val="en-US" w:eastAsia="zh-CN"/>
              </w:rPr>
              <w:t>控制</w:t>
            </w:r>
          </w:p>
          <w:p w14:paraId="77CF229E">
            <w:pPr>
              <w:jc w:val="center"/>
              <w:rPr>
                <w:rFonts w:hint="eastAsia" w:ascii="宋体" w:hAnsi="宋体" w:eastAsia="宋体" w:cs="宋体"/>
                <w:sz w:val="24"/>
                <w:szCs w:val="24"/>
              </w:rPr>
            </w:pPr>
          </w:p>
        </w:tc>
        <w:tc>
          <w:tcPr>
            <w:tcW w:w="1856" w:type="dxa"/>
            <w:noWrap w:val="0"/>
            <w:vAlign w:val="center"/>
          </w:tcPr>
          <w:p w14:paraId="67185607">
            <w:pPr>
              <w:jc w:val="center"/>
              <w:rPr>
                <w:rFonts w:hint="eastAsia" w:ascii="宋体" w:hAnsi="宋体" w:eastAsia="宋体" w:cs="宋体"/>
                <w:sz w:val="24"/>
                <w:szCs w:val="24"/>
              </w:rPr>
            </w:pPr>
            <w:r>
              <w:rPr>
                <w:rFonts w:hint="eastAsia" w:ascii="宋体" w:hAnsi="宋体" w:eastAsia="宋体" w:cs="宋体"/>
                <w:sz w:val="24"/>
                <w:szCs w:val="24"/>
              </w:rPr>
              <w:t>系统可用率</w:t>
            </w:r>
          </w:p>
        </w:tc>
        <w:tc>
          <w:tcPr>
            <w:tcW w:w="3858" w:type="dxa"/>
            <w:noWrap w:val="0"/>
            <w:vAlign w:val="center"/>
          </w:tcPr>
          <w:p w14:paraId="5F50EEEC">
            <w:pPr>
              <w:jc w:val="left"/>
              <w:rPr>
                <w:rFonts w:hint="eastAsia" w:ascii="宋体" w:hAnsi="宋体" w:eastAsia="宋体" w:cs="宋体"/>
                <w:sz w:val="24"/>
                <w:szCs w:val="24"/>
              </w:rPr>
            </w:pPr>
            <w:r>
              <w:rPr>
                <w:rFonts w:hint="eastAsia" w:ascii="宋体" w:hAnsi="宋体" w:eastAsia="宋体" w:cs="宋体"/>
                <w:sz w:val="24"/>
                <w:szCs w:val="24"/>
              </w:rPr>
              <w:t>系统可用率：大于等于90%。（注：系统可用率=1-</w:t>
            </w:r>
            <w:r>
              <w:rPr>
                <w:rFonts w:hint="eastAsia" w:ascii="宋体" w:hAnsi="宋体" w:eastAsia="宋体" w:cs="宋体"/>
                <w:sz w:val="24"/>
                <w:szCs w:val="24"/>
                <w:lang w:val="en-US" w:eastAsia="zh-CN"/>
              </w:rPr>
              <w:t>年</w:t>
            </w:r>
            <w:r>
              <w:rPr>
                <w:rFonts w:hint="eastAsia" w:ascii="宋体" w:hAnsi="宋体" w:eastAsia="宋体" w:cs="宋体"/>
                <w:sz w:val="24"/>
                <w:szCs w:val="24"/>
              </w:rPr>
              <w:t>度异常宕机小时数/</w:t>
            </w:r>
            <w:r>
              <w:rPr>
                <w:rFonts w:hint="eastAsia" w:ascii="宋体" w:hAnsi="宋体" w:eastAsia="宋体" w:cs="宋体"/>
                <w:sz w:val="24"/>
                <w:szCs w:val="24"/>
                <w:lang w:val="en-US" w:eastAsia="zh-CN"/>
              </w:rPr>
              <w:t>年</w:t>
            </w:r>
            <w:r>
              <w:rPr>
                <w:rFonts w:hint="eastAsia" w:ascii="宋体" w:hAnsi="宋体" w:eastAsia="宋体" w:cs="宋体"/>
                <w:sz w:val="24"/>
                <w:szCs w:val="24"/>
              </w:rPr>
              <w:t>度小时数*100%）系统可用率小于90%，扣</w:t>
            </w:r>
            <w:r>
              <w:rPr>
                <w:rFonts w:hint="eastAsia" w:ascii="宋体" w:hAnsi="宋体" w:eastAsia="宋体" w:cs="宋体"/>
                <w:sz w:val="24"/>
                <w:szCs w:val="24"/>
                <w:lang w:val="en-US" w:eastAsia="zh-CN"/>
              </w:rPr>
              <w:t>5</w:t>
            </w:r>
            <w:r>
              <w:rPr>
                <w:rFonts w:hint="eastAsia" w:ascii="宋体" w:hAnsi="宋体" w:eastAsia="宋体" w:cs="宋体"/>
                <w:sz w:val="24"/>
                <w:szCs w:val="24"/>
              </w:rPr>
              <w:t>分；小于85%，扣</w:t>
            </w:r>
            <w:r>
              <w:rPr>
                <w:rFonts w:hint="eastAsia" w:ascii="宋体" w:hAnsi="宋体" w:eastAsia="宋体" w:cs="宋体"/>
                <w:sz w:val="24"/>
                <w:szCs w:val="24"/>
                <w:lang w:val="en-US" w:eastAsia="zh-CN"/>
              </w:rPr>
              <w:t>10</w:t>
            </w:r>
            <w:r>
              <w:rPr>
                <w:rFonts w:hint="eastAsia" w:ascii="宋体" w:hAnsi="宋体" w:eastAsia="宋体" w:cs="宋体"/>
                <w:sz w:val="24"/>
                <w:szCs w:val="24"/>
              </w:rPr>
              <w:t>分；小于75%，扣</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884" w:type="dxa"/>
            <w:noWrap w:val="0"/>
            <w:vAlign w:val="center"/>
          </w:tcPr>
          <w:p w14:paraId="5D4D901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14:paraId="6AA5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14:paraId="721B36B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24" w:type="dxa"/>
            <w:vMerge w:val="continue"/>
            <w:noWrap w:val="0"/>
            <w:vAlign w:val="center"/>
          </w:tcPr>
          <w:p w14:paraId="4BAB20B4">
            <w:pPr>
              <w:jc w:val="center"/>
              <w:rPr>
                <w:rFonts w:hint="eastAsia" w:ascii="宋体" w:hAnsi="宋体" w:eastAsia="宋体" w:cs="宋体"/>
                <w:sz w:val="24"/>
                <w:szCs w:val="24"/>
              </w:rPr>
            </w:pPr>
          </w:p>
        </w:tc>
        <w:tc>
          <w:tcPr>
            <w:tcW w:w="1856" w:type="dxa"/>
            <w:noWrap w:val="0"/>
            <w:vAlign w:val="center"/>
          </w:tcPr>
          <w:p w14:paraId="4C1791BB">
            <w:pPr>
              <w:jc w:val="center"/>
              <w:rPr>
                <w:rFonts w:hint="eastAsia" w:ascii="宋体" w:hAnsi="宋体" w:eastAsia="宋体" w:cs="宋体"/>
                <w:sz w:val="24"/>
                <w:szCs w:val="24"/>
              </w:rPr>
            </w:pPr>
            <w:r>
              <w:rPr>
                <w:rFonts w:hint="eastAsia" w:ascii="宋体" w:hAnsi="宋体" w:eastAsia="宋体" w:cs="宋体"/>
                <w:sz w:val="24"/>
                <w:szCs w:val="24"/>
              </w:rPr>
              <w:t>服务受理时间</w:t>
            </w:r>
          </w:p>
        </w:tc>
        <w:tc>
          <w:tcPr>
            <w:tcW w:w="3858" w:type="dxa"/>
            <w:noWrap w:val="0"/>
            <w:vAlign w:val="center"/>
          </w:tcPr>
          <w:p w14:paraId="48AC0A06">
            <w:pPr>
              <w:jc w:val="left"/>
              <w:rPr>
                <w:rFonts w:hint="eastAsia" w:ascii="宋体" w:hAnsi="宋体" w:eastAsia="宋体" w:cs="宋体"/>
                <w:sz w:val="24"/>
                <w:szCs w:val="24"/>
                <w:lang w:val="en-US" w:eastAsia="zh-CN"/>
              </w:rPr>
            </w:pPr>
            <w:r>
              <w:rPr>
                <w:rFonts w:hint="eastAsia" w:ascii="宋体" w:hAnsi="宋体" w:eastAsia="宋体" w:cs="宋体"/>
                <w:sz w:val="24"/>
                <w:szCs w:val="24"/>
              </w:rPr>
              <w:t>服务受理时间：7*24 小时。不满足要求，该项得分为0</w:t>
            </w:r>
            <w:r>
              <w:rPr>
                <w:rFonts w:hint="eastAsia" w:ascii="宋体" w:hAnsi="宋体" w:eastAsia="宋体" w:cs="宋体"/>
                <w:sz w:val="24"/>
                <w:szCs w:val="24"/>
                <w:lang w:eastAsia="zh-CN"/>
              </w:rPr>
              <w:t>。</w:t>
            </w:r>
          </w:p>
        </w:tc>
        <w:tc>
          <w:tcPr>
            <w:tcW w:w="884" w:type="dxa"/>
            <w:noWrap w:val="0"/>
            <w:vAlign w:val="center"/>
          </w:tcPr>
          <w:p w14:paraId="39882CF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14:paraId="3EE3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14:paraId="53ADAD8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324" w:type="dxa"/>
            <w:vMerge w:val="continue"/>
            <w:noWrap w:val="0"/>
            <w:vAlign w:val="center"/>
          </w:tcPr>
          <w:p w14:paraId="78A8647A">
            <w:pPr>
              <w:jc w:val="center"/>
              <w:rPr>
                <w:rFonts w:hint="eastAsia" w:ascii="宋体" w:hAnsi="宋体" w:eastAsia="宋体" w:cs="宋体"/>
                <w:sz w:val="24"/>
                <w:szCs w:val="24"/>
              </w:rPr>
            </w:pPr>
          </w:p>
        </w:tc>
        <w:tc>
          <w:tcPr>
            <w:tcW w:w="1856" w:type="dxa"/>
            <w:noWrap w:val="0"/>
            <w:vAlign w:val="center"/>
          </w:tcPr>
          <w:p w14:paraId="4B5B0C6B">
            <w:pPr>
              <w:jc w:val="center"/>
              <w:rPr>
                <w:rFonts w:hint="eastAsia" w:ascii="宋体" w:hAnsi="宋体" w:eastAsia="宋体" w:cs="宋体"/>
                <w:sz w:val="24"/>
                <w:szCs w:val="24"/>
              </w:rPr>
            </w:pPr>
            <w:r>
              <w:rPr>
                <w:rFonts w:hint="eastAsia" w:ascii="宋体" w:hAnsi="宋体" w:eastAsia="宋体" w:cs="宋体"/>
                <w:sz w:val="24"/>
                <w:szCs w:val="24"/>
              </w:rPr>
              <w:t>故障恢复时间</w:t>
            </w:r>
          </w:p>
        </w:tc>
        <w:tc>
          <w:tcPr>
            <w:tcW w:w="3858" w:type="dxa"/>
            <w:noWrap w:val="0"/>
            <w:vAlign w:val="center"/>
          </w:tcPr>
          <w:p w14:paraId="25C28ECF">
            <w:pPr>
              <w:jc w:val="left"/>
              <w:rPr>
                <w:rFonts w:hint="eastAsia" w:ascii="宋体" w:hAnsi="宋体" w:eastAsia="宋体" w:cs="宋体"/>
                <w:b/>
                <w:bCs/>
                <w:sz w:val="24"/>
                <w:szCs w:val="24"/>
                <w:lang w:val="en-US" w:eastAsia="zh-CN"/>
              </w:rPr>
            </w:pPr>
            <w:r>
              <w:rPr>
                <w:rFonts w:hint="eastAsia" w:ascii="宋体" w:hAnsi="宋体" w:eastAsia="宋体" w:cs="宋体"/>
                <w:sz w:val="24"/>
                <w:szCs w:val="24"/>
              </w:rPr>
              <w:t>故障恢复时间：一般故障小于等于2小时，重大故障小于等于6小时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每有一次</w:t>
            </w:r>
            <w:r>
              <w:rPr>
                <w:rFonts w:hint="eastAsia" w:ascii="宋体" w:hAnsi="宋体" w:eastAsia="宋体" w:cs="宋体"/>
                <w:sz w:val="24"/>
                <w:szCs w:val="24"/>
              </w:rPr>
              <w:t>故障修复时间滞后1小时，扣2分；滞后6小时，扣4分；滞后12小时，扣8分。</w:t>
            </w:r>
            <w:r>
              <w:rPr>
                <w:rFonts w:hint="eastAsia" w:ascii="宋体" w:hAnsi="宋体" w:eastAsia="宋体" w:cs="宋体"/>
                <w:sz w:val="24"/>
                <w:szCs w:val="24"/>
                <w:lang w:val="en-US" w:eastAsia="zh-CN"/>
              </w:rPr>
              <w:t>直到扣完为止。</w:t>
            </w:r>
          </w:p>
        </w:tc>
        <w:tc>
          <w:tcPr>
            <w:tcW w:w="884" w:type="dxa"/>
            <w:noWrap w:val="0"/>
            <w:vAlign w:val="center"/>
          </w:tcPr>
          <w:p w14:paraId="380EE65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14:paraId="336D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14:paraId="037FBC00">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324" w:type="dxa"/>
            <w:noWrap w:val="0"/>
            <w:vAlign w:val="center"/>
          </w:tcPr>
          <w:p w14:paraId="73F0C9B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备份恢复演练</w:t>
            </w:r>
          </w:p>
        </w:tc>
        <w:tc>
          <w:tcPr>
            <w:tcW w:w="1856" w:type="dxa"/>
            <w:noWrap w:val="0"/>
            <w:vAlign w:val="center"/>
          </w:tcPr>
          <w:p w14:paraId="67AC009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全年不少于3次</w:t>
            </w:r>
          </w:p>
        </w:tc>
        <w:tc>
          <w:tcPr>
            <w:tcW w:w="3858" w:type="dxa"/>
            <w:noWrap w:val="0"/>
            <w:vAlign w:val="center"/>
          </w:tcPr>
          <w:p w14:paraId="4D2ED1C5">
            <w:pPr>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提供备份恢复演练计划，实施方案，实施报告缺少一次扣2分。直到扣完为止</w:t>
            </w:r>
          </w:p>
        </w:tc>
        <w:tc>
          <w:tcPr>
            <w:tcW w:w="884" w:type="dxa"/>
            <w:noWrap w:val="0"/>
            <w:vAlign w:val="center"/>
          </w:tcPr>
          <w:p w14:paraId="29679CFD">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r>
    </w:tbl>
    <w:p w14:paraId="0004D6EE">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duG0NA8K+SimSun">
    <w:altName w:val="MV Boli"/>
    <w:panose1 w:val="02000503000000000000"/>
    <w:charset w:val="00"/>
    <w:family w:val="auto"/>
    <w:pitch w:val="default"/>
    <w:sig w:usb0="00000000" w:usb1="00000000" w:usb2="00000014" w:usb3="00000000" w:csb0="00000001" w:csb1="00000000"/>
  </w:font>
  <w:font w:name="MV Boli">
    <w:panose1 w:val="02000500030200090000"/>
    <w:charset w:val="00"/>
    <w:family w:val="auto"/>
    <w:pitch w:val="default"/>
    <w:sig w:usb0="00000003" w:usb1="00000000" w:usb2="000001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81ED7"/>
    <w:rsid w:val="5B68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2024-12-03T10:25:00Z</dcterms:created>
  <dc:creator>WPS</dc:creator>
  <cp:lastModifiedBy>WPS</cp:lastModifiedBy>
  <dcterms:modified xsi:type="dcterms:W3CDTF">2024-12-03T10:27:38Z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BF089689E7CD4A99917B195280510DAE_11</vt:lpwstr>
  </property>
</Properties>
</file>