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安庆职业技术学院2022年数字资源采购(中国知网CNKI数据库）项目</w:t>
      </w:r>
    </w:p>
    <w:p>
      <w:pPr>
        <w:spacing w:line="360" w:lineRule="auto"/>
        <w:jc w:val="center"/>
        <w:rPr>
          <w:rFonts w:ascii="宋体" w:hAnsi="宋体" w:cs="宋体"/>
          <w:b/>
          <w:sz w:val="44"/>
          <w:szCs w:val="44"/>
        </w:rPr>
      </w:pP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rFonts w:eastAsia="仿宋"/>
          <w:b/>
          <w:sz w:val="24"/>
          <w:szCs w:val="32"/>
        </w:rPr>
      </w:pPr>
      <w:r>
        <w:rPr>
          <w:rFonts w:hint="eastAsia" w:ascii="仿宋" w:hAnsi="仿宋" w:eastAsia="仿宋"/>
          <w:b/>
          <w:sz w:val="24"/>
        </w:rPr>
        <w:t>项目编号：CG-AQ-W2022-159</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安庆职业技术学院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ascii="宋体" w:hAnsi="宋体" w:cs="宋体"/>
          <w:b/>
          <w:sz w:val="30"/>
          <w:szCs w:val="30"/>
        </w:rPr>
      </w:pPr>
      <w:r>
        <w:rPr>
          <w:rFonts w:hint="eastAsia" w:ascii="仿宋" w:hAnsi="仿宋" w:eastAsia="仿宋"/>
          <w:b/>
          <w:sz w:val="30"/>
          <w:szCs w:val="30"/>
        </w:rPr>
        <w:t>日  期：</w:t>
      </w:r>
      <w:r>
        <w:rPr>
          <w:rFonts w:hint="eastAsia" w:ascii="宋体" w:hAnsi="宋体" w:cs="宋体"/>
          <w:b/>
          <w:sz w:val="30"/>
          <w:szCs w:val="30"/>
        </w:rPr>
        <w:t>二〇二</w:t>
      </w:r>
      <w:r>
        <w:rPr>
          <w:rFonts w:hint="eastAsia" w:ascii="宋体" w:hAnsi="宋体" w:cs="宋体"/>
          <w:b/>
          <w:sz w:val="30"/>
          <w:szCs w:val="30"/>
          <w:lang w:val="en-US" w:eastAsia="zh-CN"/>
        </w:rPr>
        <w:t>二</w:t>
      </w:r>
      <w:r>
        <w:rPr>
          <w:rFonts w:hint="eastAsia" w:ascii="宋体" w:hAnsi="宋体" w:cs="宋体"/>
          <w:b/>
          <w:sz w:val="30"/>
          <w:szCs w:val="30"/>
        </w:rPr>
        <w:t xml:space="preserve"> 年 十一 月</w:t>
      </w: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11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16</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215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响应人谈判后现场递交）。</w:t>
      </w:r>
    </w:p>
    <w:p>
      <w:pPr>
        <w:widowControl/>
        <w:spacing w:line="480" w:lineRule="auto"/>
        <w:jc w:val="center"/>
        <w:rPr>
          <w:rFonts w:ascii="黑体" w:hAnsi="黑体" w:eastAsia="黑体" w:cs="宋体"/>
          <w:b/>
          <w:kern w:val="0"/>
          <w:sz w:val="32"/>
          <w:szCs w:val="32"/>
        </w:rPr>
      </w:pPr>
    </w:p>
    <w:p>
      <w:pPr>
        <w:widowControl/>
        <w:spacing w:line="480" w:lineRule="auto"/>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2、按照谈判文件要求制作响应文件。</w:t>
      </w:r>
    </w:p>
    <w:p>
      <w:pPr>
        <w:widowControl/>
        <w:spacing w:line="480" w:lineRule="auto"/>
        <w:ind w:firstLine="482" w:firstLineChars="200"/>
        <w:jc w:val="left"/>
        <w:rPr>
          <w:rFonts w:ascii="Times New Roman" w:hAnsi="Times New Roman" w:cs="Times New Roman"/>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b/>
          <w:sz w:val="36"/>
          <w:szCs w:val="36"/>
        </w:rPr>
      </w:pPr>
      <w:r>
        <w:rPr>
          <w:rFonts w:hint="eastAsia" w:ascii="宋体" w:hAnsi="宋体"/>
          <w:b/>
          <w:sz w:val="36"/>
          <w:szCs w:val="36"/>
        </w:rPr>
        <w:t>目   录</w:t>
      </w:r>
    </w:p>
    <w:p>
      <w:pPr>
        <w:pStyle w:val="17"/>
        <w:rPr>
          <w:rFonts w:asciiTheme="minorHAnsi" w:hAnsiTheme="minorHAnsi" w:eastAsiaTheme="minorEastAsia" w:cstheme="minorBidi"/>
          <w:sz w:val="21"/>
          <w:szCs w:val="22"/>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"_Toc6847630" </w:instrText>
      </w:r>
      <w:r>
        <w:fldChar w:fldCharType="separate"/>
      </w:r>
      <w:r>
        <w:rPr>
          <w:rStyle w:val="28"/>
          <w:rFonts w:hint="eastAsia" w:ascii="宋体" w:hAnsi="宋体" w:cs="Tahoma"/>
          <w:kern w:val="0"/>
        </w:rPr>
        <w:t>第一章</w:t>
      </w:r>
      <w:r>
        <w:rPr>
          <w:rFonts w:asciiTheme="minorHAnsi" w:hAnsiTheme="minorHAnsi" w:eastAsiaTheme="minorEastAsia" w:cstheme="minorBidi"/>
          <w:sz w:val="21"/>
          <w:szCs w:val="22"/>
        </w:rPr>
        <w:tab/>
      </w:r>
      <w:r>
        <w:rPr>
          <w:rStyle w:val="28"/>
          <w:rFonts w:hint="eastAsia"/>
        </w:rPr>
        <w:t>单一来源邀请书</w:t>
      </w:r>
      <w:r>
        <w:tab/>
      </w:r>
      <w:r>
        <w:fldChar w:fldCharType="begin"/>
      </w:r>
      <w:r>
        <w:instrText xml:space="preserve"> PAGEREF _Toc6847630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"_Toc6847631" </w:instrText>
      </w:r>
      <w:r>
        <w:fldChar w:fldCharType="separate"/>
      </w:r>
      <w:r>
        <w:rPr>
          <w:rStyle w:val="28"/>
          <w:rFonts w:hint="eastAsia"/>
        </w:rPr>
        <w:t>第二章</w:t>
      </w:r>
      <w:r>
        <w:rPr>
          <w:rFonts w:asciiTheme="minorHAnsi" w:hAnsiTheme="minorHAnsi" w:eastAsiaTheme="minorEastAsia" w:cstheme="minorBidi"/>
          <w:sz w:val="21"/>
          <w:szCs w:val="22"/>
        </w:rPr>
        <w:tab/>
      </w:r>
      <w:r>
        <w:rPr>
          <w:rStyle w:val="28"/>
          <w:rFonts w:hint="eastAsia"/>
        </w:rPr>
        <w:t>谈判响应人须知</w:t>
      </w:r>
      <w:r>
        <w:tab/>
      </w:r>
      <w:r>
        <w:fldChar w:fldCharType="begin"/>
      </w:r>
      <w:r>
        <w:instrText xml:space="preserve"> PAGEREF _Toc6847631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"_Toc6847632" </w:instrText>
      </w:r>
      <w:r>
        <w:fldChar w:fldCharType="separate"/>
      </w:r>
      <w:r>
        <w:rPr>
          <w:rStyle w:val="28"/>
          <w:rFonts w:hint="eastAsia"/>
        </w:rPr>
        <w:t>第一节</w:t>
      </w:r>
      <w:r>
        <w:rPr>
          <w:rStyle w:val="28"/>
        </w:rPr>
        <w:t xml:space="preserve"> </w:t>
      </w:r>
      <w:r>
        <w:rPr>
          <w:rStyle w:val="28"/>
          <w:rFonts w:hint="eastAsia"/>
        </w:rPr>
        <w:t>谈判响应人须知前附表</w:t>
      </w:r>
      <w:r>
        <w:tab/>
      </w:r>
      <w:r>
        <w:fldChar w:fldCharType="begin"/>
      </w:r>
      <w:r>
        <w:instrText xml:space="preserve"> PAGEREF _Toc6847632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"_Toc6847633" </w:instrText>
      </w:r>
      <w:r>
        <w:fldChar w:fldCharType="separate"/>
      </w:r>
      <w:r>
        <w:rPr>
          <w:rStyle w:val="28"/>
          <w:rFonts w:hint="eastAsia"/>
        </w:rPr>
        <w:t>第二节</w:t>
      </w:r>
      <w:r>
        <w:rPr>
          <w:rStyle w:val="28"/>
        </w:rPr>
        <w:t xml:space="preserve">  </w:t>
      </w:r>
      <w:r>
        <w:rPr>
          <w:rStyle w:val="28"/>
          <w:rFonts w:hint="eastAsia"/>
        </w:rPr>
        <w:t>谈判响应人须知</w:t>
      </w:r>
      <w:r>
        <w:tab/>
      </w:r>
      <w:r>
        <w:fldChar w:fldCharType="begin"/>
      </w:r>
      <w:r>
        <w:instrText xml:space="preserve"> PAGEREF _Toc6847633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"_Toc6847634" </w:instrText>
      </w:r>
      <w:r>
        <w:fldChar w:fldCharType="separate"/>
      </w:r>
      <w:r>
        <w:rPr>
          <w:rStyle w:val="28"/>
          <w:rFonts w:hint="eastAsia"/>
        </w:rPr>
        <w:t>一、总则</w:t>
      </w:r>
      <w:r>
        <w:tab/>
      </w:r>
      <w:r>
        <w:fldChar w:fldCharType="begin"/>
      </w:r>
      <w:r>
        <w:instrText xml:space="preserve"> PAGEREF _Toc6847634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"_Toc6847635" </w:instrText>
      </w:r>
      <w:r>
        <w:fldChar w:fldCharType="separate"/>
      </w:r>
      <w:r>
        <w:rPr>
          <w:rStyle w:val="28"/>
          <w:rFonts w:hint="eastAsia"/>
        </w:rPr>
        <w:t>二、谈判文件</w:t>
      </w:r>
      <w:r>
        <w:tab/>
      </w:r>
      <w:r>
        <w:fldChar w:fldCharType="begin"/>
      </w:r>
      <w:r>
        <w:instrText xml:space="preserve"> PAGEREF _Toc6847635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"_Toc6847636" </w:instrText>
      </w:r>
      <w:r>
        <w:fldChar w:fldCharType="separate"/>
      </w:r>
      <w:r>
        <w:rPr>
          <w:rStyle w:val="28"/>
          <w:rFonts w:hint="eastAsia"/>
        </w:rPr>
        <w:t>三、谈判响应文件的编制</w:t>
      </w:r>
      <w:r>
        <w:tab/>
      </w:r>
      <w:r>
        <w:fldChar w:fldCharType="begin"/>
      </w:r>
      <w:r>
        <w:instrText xml:space="preserve"> PAGEREF _Toc6847636 \h </w:instrText>
      </w:r>
      <w:r>
        <w:fldChar w:fldCharType="separate"/>
      </w:r>
      <w:r>
        <w:t>7</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"_Toc6847637" </w:instrText>
      </w:r>
      <w:r>
        <w:fldChar w:fldCharType="separate"/>
      </w:r>
      <w:r>
        <w:rPr>
          <w:rStyle w:val="28"/>
          <w:rFonts w:hint="eastAsia"/>
        </w:rPr>
        <w:t>四、谈判响应文件的提交</w:t>
      </w:r>
      <w:r>
        <w:tab/>
      </w:r>
      <w:r>
        <w:fldChar w:fldCharType="begin"/>
      </w:r>
      <w:r>
        <w:instrText xml:space="preserve"> PAGEREF _Toc6847637 \h </w:instrText>
      </w:r>
      <w:r>
        <w:fldChar w:fldCharType="separate"/>
      </w:r>
      <w:r>
        <w:t>10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"_Toc6847638" </w:instrText>
      </w:r>
      <w:r>
        <w:fldChar w:fldCharType="separate"/>
      </w:r>
      <w:r>
        <w:rPr>
          <w:rStyle w:val="28"/>
          <w:rFonts w:hint="eastAsia"/>
        </w:rPr>
        <w:t>五、谈判程序</w:t>
      </w:r>
      <w:r>
        <w:tab/>
      </w:r>
      <w:r>
        <w:fldChar w:fldCharType="begin"/>
      </w:r>
      <w:r>
        <w:instrText xml:space="preserve"> PAGEREF _Toc6847638 \h </w:instrText>
      </w:r>
      <w:r>
        <w:fldChar w:fldCharType="separate"/>
      </w:r>
      <w:r>
        <w:t>11</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"_Toc6847639" </w:instrText>
      </w:r>
      <w:r>
        <w:fldChar w:fldCharType="separate"/>
      </w:r>
      <w:r>
        <w:rPr>
          <w:rStyle w:val="28"/>
          <w:rFonts w:hint="eastAsia"/>
        </w:rPr>
        <w:t>六、谈判</w:t>
      </w:r>
      <w:r>
        <w:tab/>
      </w:r>
      <w:r>
        <w:fldChar w:fldCharType="begin"/>
      </w:r>
      <w:r>
        <w:instrText xml:space="preserve"> PAGEREF _Toc6847639 \h </w:instrText>
      </w:r>
      <w:r>
        <w:fldChar w:fldCharType="separate"/>
      </w:r>
      <w:r>
        <w:t>13</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"_Toc6847640" </w:instrText>
      </w:r>
      <w:r>
        <w:fldChar w:fldCharType="separate"/>
      </w:r>
      <w:r>
        <w:rPr>
          <w:rStyle w:val="28"/>
          <w:rFonts w:hint="eastAsia" w:hAnsi="宋体"/>
        </w:rPr>
        <w:t>七、合同授予</w:t>
      </w:r>
      <w:r>
        <w:tab/>
      </w:r>
      <w:r>
        <w:fldChar w:fldCharType="begin"/>
      </w:r>
      <w:r>
        <w:instrText xml:space="preserve"> PAGEREF _Toc6847640 \h </w:instrText>
      </w:r>
      <w:r>
        <w:fldChar w:fldCharType="separate"/>
      </w:r>
      <w:r>
        <w:t>15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"_Toc6847641" </w:instrText>
      </w:r>
      <w:r>
        <w:fldChar w:fldCharType="separate"/>
      </w:r>
      <w:r>
        <w:rPr>
          <w:rStyle w:val="28"/>
          <w:rFonts w:hint="eastAsia"/>
        </w:rPr>
        <w:t>第三章</w:t>
      </w:r>
      <w:r>
        <w:rPr>
          <w:rFonts w:asciiTheme="minorHAnsi" w:hAnsiTheme="minorHAnsi" w:eastAsiaTheme="minorEastAsia" w:cstheme="minorBidi"/>
          <w:sz w:val="21"/>
          <w:szCs w:val="22"/>
        </w:rPr>
        <w:tab/>
      </w:r>
      <w:r>
        <w:rPr>
          <w:rStyle w:val="28"/>
          <w:rFonts w:hint="eastAsia"/>
        </w:rPr>
        <w:t>服务需求及技术要求</w:t>
      </w:r>
      <w:r>
        <w:tab/>
      </w:r>
      <w:r>
        <w:fldChar w:fldCharType="begin"/>
      </w:r>
      <w:r>
        <w:instrText xml:space="preserve"> PAGEREF _Toc6847641 \h </w:instrText>
      </w:r>
      <w:r>
        <w:fldChar w:fldCharType="separate"/>
      </w:r>
      <w:r>
        <w:t>17</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"_Toc6847642" </w:instrText>
      </w:r>
      <w:r>
        <w:fldChar w:fldCharType="separate"/>
      </w:r>
      <w:r>
        <w:rPr>
          <w:rStyle w:val="28"/>
          <w:rFonts w:hint="eastAsia"/>
        </w:rPr>
        <w:t>第四章</w:t>
      </w:r>
      <w:r>
        <w:rPr>
          <w:rFonts w:asciiTheme="minorHAnsi" w:hAnsiTheme="minorHAnsi" w:eastAsiaTheme="minorEastAsia" w:cstheme="minorBidi"/>
          <w:sz w:val="21"/>
          <w:szCs w:val="22"/>
        </w:rPr>
        <w:tab/>
      </w:r>
      <w:r>
        <w:rPr>
          <w:rStyle w:val="28"/>
          <w:rFonts w:hint="eastAsia"/>
        </w:rPr>
        <w:t>合同主要条款</w:t>
      </w:r>
      <w:r>
        <w:tab/>
      </w:r>
      <w:r>
        <w:fldChar w:fldCharType="begin"/>
      </w:r>
      <w:r>
        <w:instrText xml:space="preserve"> PAGEREF _Toc6847642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"_Toc6847643" </w:instrText>
      </w:r>
      <w:r>
        <w:fldChar w:fldCharType="separate"/>
      </w:r>
      <w:r>
        <w:rPr>
          <w:rStyle w:val="28"/>
          <w:rFonts w:hint="eastAsia"/>
        </w:rPr>
        <w:t>第五章</w:t>
      </w:r>
      <w:r>
        <w:rPr>
          <w:rFonts w:asciiTheme="minorHAnsi" w:hAnsiTheme="minorHAnsi" w:eastAsiaTheme="minorEastAsia" w:cstheme="minorBidi"/>
          <w:sz w:val="21"/>
          <w:szCs w:val="22"/>
        </w:rPr>
        <w:tab/>
      </w:r>
      <w:r>
        <w:rPr>
          <w:rStyle w:val="28"/>
          <w:rFonts w:hint="eastAsia"/>
        </w:rPr>
        <w:t>谈判响应文件格式</w:t>
      </w:r>
      <w:r>
        <w:tab/>
      </w:r>
      <w:r>
        <w:fldChar w:fldCharType="begin"/>
      </w:r>
      <w:r>
        <w:instrText xml:space="preserve"> PAGEREF _Toc6847643 \h </w:instrText>
      </w:r>
      <w:r>
        <w:fldChar w:fldCharType="separate"/>
      </w:r>
      <w:r>
        <w:t>20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"_Toc6847644" </w:instrText>
      </w:r>
      <w:r>
        <w:fldChar w:fldCharType="separate"/>
      </w:r>
      <w:r>
        <w:rPr>
          <w:rStyle w:val="28"/>
          <w:rFonts w:hint="eastAsia"/>
        </w:rPr>
        <w:t>一、谈判响应函</w:t>
      </w:r>
      <w:r>
        <w:tab/>
      </w:r>
      <w:r>
        <w:fldChar w:fldCharType="begin"/>
      </w:r>
      <w:r>
        <w:instrText xml:space="preserve"> PAGEREF _Toc6847644 \h </w:instrText>
      </w:r>
      <w:r>
        <w:fldChar w:fldCharType="separate"/>
      </w:r>
      <w:r>
        <w:t>22</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"_Toc6847645" </w:instrText>
      </w:r>
      <w:r>
        <w:fldChar w:fldCharType="separate"/>
      </w:r>
      <w:r>
        <w:rPr>
          <w:rStyle w:val="28"/>
          <w:rFonts w:hint="eastAsia"/>
        </w:rPr>
        <w:t>二、服务报价表（首轮）</w:t>
      </w:r>
      <w:r>
        <w:tab/>
      </w:r>
      <w:r>
        <w:fldChar w:fldCharType="begin"/>
      </w:r>
      <w:r>
        <w:instrText xml:space="preserve"> PAGEREF _Toc6847645 \h </w:instrText>
      </w:r>
      <w:r>
        <w:fldChar w:fldCharType="separate"/>
      </w:r>
      <w:r>
        <w:t>23</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"_Toc6847646" </w:instrText>
      </w:r>
      <w:r>
        <w:fldChar w:fldCharType="separate"/>
      </w:r>
      <w:r>
        <w:rPr>
          <w:rStyle w:val="28"/>
          <w:rFonts w:hint="eastAsia"/>
        </w:rPr>
        <w:t>三、</w:t>
      </w:r>
      <w:r>
        <w:rPr>
          <w:rStyle w:val="28"/>
          <w:rFonts w:hint="eastAsia" w:hAnsi="宋体" w:cs="宋体"/>
        </w:rPr>
        <w:t>服务内容及质量要求响应表</w:t>
      </w:r>
      <w:r>
        <w:tab/>
      </w:r>
      <w:r>
        <w:fldChar w:fldCharType="begin"/>
      </w:r>
      <w:r>
        <w:instrText xml:space="preserve"> PAGEREF _Toc6847646 \h </w:instrText>
      </w:r>
      <w:r>
        <w:fldChar w:fldCharType="separate"/>
      </w:r>
      <w:r>
        <w:t>25</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"_Toc6847647" </w:instrText>
      </w:r>
      <w:r>
        <w:fldChar w:fldCharType="separate"/>
      </w:r>
      <w:r>
        <w:rPr>
          <w:rStyle w:val="28"/>
          <w:rFonts w:hint="eastAsia"/>
        </w:rPr>
        <w:t>四、服务方案</w:t>
      </w:r>
      <w:r>
        <w:tab/>
      </w:r>
      <w:r>
        <w:fldChar w:fldCharType="begin"/>
      </w:r>
      <w:r>
        <w:instrText xml:space="preserve"> PAGEREF _Toc6847647 \h </w:instrText>
      </w:r>
      <w:r>
        <w:fldChar w:fldCharType="separate"/>
      </w:r>
      <w:r>
        <w:t>26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"_Toc6847648" </w:instrText>
      </w:r>
      <w:r>
        <w:fldChar w:fldCharType="separate"/>
      </w:r>
      <w:r>
        <w:rPr>
          <w:rStyle w:val="28"/>
          <w:rFonts w:hint="eastAsia"/>
        </w:rPr>
        <w:t>五、诚信谈判响应承诺书</w:t>
      </w:r>
      <w:r>
        <w:tab/>
      </w:r>
      <w:r>
        <w:fldChar w:fldCharType="begin"/>
      </w:r>
      <w:r>
        <w:instrText xml:space="preserve"> PAGEREF _Toc6847648 \h </w:instrText>
      </w:r>
      <w:r>
        <w:fldChar w:fldCharType="separate"/>
      </w:r>
      <w:r>
        <w:t>27</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"_Toc6847649" </w:instrText>
      </w:r>
      <w:r>
        <w:fldChar w:fldCharType="separate"/>
      </w:r>
      <w:r>
        <w:rPr>
          <w:rStyle w:val="28"/>
          <w:rFonts w:hint="eastAsia"/>
        </w:rPr>
        <w:t>六、资格证明文件</w:t>
      </w:r>
      <w:r>
        <w:tab/>
      </w:r>
      <w:r>
        <w:fldChar w:fldCharType="begin"/>
      </w:r>
      <w:r>
        <w:instrText xml:space="preserve"> PAGEREF _Toc6847649 \h </w:instrText>
      </w:r>
      <w:r>
        <w:fldChar w:fldCharType="separate"/>
      </w:r>
      <w:r>
        <w:t>28</w:t>
      </w:r>
      <w:r>
        <w:fldChar w:fldCharType="end"/>
      </w:r>
      <w:r>
        <w:fldChar w:fldCharType="end"/>
      </w:r>
    </w:p>
    <w:p>
      <w:pPr>
        <w:pStyle w:val="11"/>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3"/>
        <w:numPr>
          <w:ilvl w:val="0"/>
          <w:numId w:val="1"/>
        </w:numPr>
        <w:rPr>
          <w:rFonts w:ascii="宋体" w:hAnsi="宋体" w:cs="Tahoma"/>
          <w:kern w:val="0"/>
          <w:szCs w:val="32"/>
        </w:rPr>
        <w:sectPr>
          <w:headerReference r:id="rId4"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3"/>
        <w:numPr>
          <w:ilvl w:val="0"/>
          <w:numId w:val="1"/>
        </w:numPr>
        <w:rPr>
          <w:rFonts w:ascii="宋体" w:hAnsi="宋体" w:cs="Tahoma"/>
          <w:kern w:val="0"/>
          <w:szCs w:val="32"/>
        </w:rPr>
      </w:pPr>
      <w:bookmarkStart w:id="0" w:name="_Toc6847630"/>
      <w:r>
        <w:rPr>
          <w:rFonts w:hint="eastAsia"/>
        </w:rPr>
        <w:t>单一来源邀请书</w:t>
      </w:r>
      <w:bookmarkEnd w:id="0"/>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w:t>
      </w:r>
      <w:r>
        <w:rPr>
          <w:rFonts w:hint="eastAsia" w:ascii="宋体" w:hAnsi="宋体"/>
          <w:kern w:val="0"/>
          <w:sz w:val="21"/>
          <w:szCs w:val="21"/>
          <w:lang w:eastAsia="zh-CN"/>
        </w:rPr>
        <w:t>安庆职业技术学院2022年数字资源采购(中国知网CNKI数据库）项目</w:t>
      </w:r>
      <w:r>
        <w:rPr>
          <w:rFonts w:hint="eastAsia" w:ascii="宋体" w:hAnsi="宋体"/>
          <w:kern w:val="0"/>
          <w:sz w:val="21"/>
          <w:szCs w:val="21"/>
        </w:rPr>
        <w:t>采用单一来源方式进行采购，由于贵公司[同方知网（北京）技术有限公司]为本项目的唯一供应商，受安庆职业技术学院委托，我方现邀请贵公司参与本项目的采购活动，现将有关事项通知如下：</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中国知网CNKI数据库采购</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1.符合《中华人民共和国政府采购法》第二十二条规定；</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2.落实政府采购政策需满足的资格要求：/；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3.本项目的特定资格要求：/；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4.本项目不接受联合体。。</w:t>
      </w:r>
    </w:p>
    <w:p>
      <w:pPr>
        <w:numPr>
          <w:ilvl w:val="0"/>
          <w:numId w:val="2"/>
        </w:numPr>
        <w:spacing w:line="560" w:lineRule="exact"/>
        <w:ind w:firstLine="420" w:firstLineChars="200"/>
        <w:rPr>
          <w:rFonts w:ascii="宋体" w:hAnsi="宋体"/>
          <w:szCs w:val="21"/>
        </w:rPr>
      </w:pPr>
      <w:r>
        <w:rPr>
          <w:rFonts w:hint="eastAsia" w:ascii="宋体" w:hAnsi="宋体"/>
          <w:kern w:val="0"/>
          <w:szCs w:val="21"/>
        </w:rPr>
        <w:t>谈判文件获取：</w:t>
      </w:r>
    </w:p>
    <w:p>
      <w:pPr>
        <w:spacing w:line="560" w:lineRule="exact"/>
        <w:ind w:firstLine="420" w:firstLineChars="200"/>
        <w:rPr>
          <w:rFonts w:ascii="宋体" w:hAnsi="宋体" w:cs="Tahoma"/>
          <w:kern w:val="0"/>
          <w:szCs w:val="21"/>
        </w:rPr>
      </w:pPr>
      <w:r>
        <w:rPr>
          <w:rFonts w:hint="eastAsia" w:ascii="宋体" w:hAnsi="宋体" w:cs="Tahoma"/>
          <w:kern w:val="0"/>
          <w:szCs w:val="21"/>
        </w:rPr>
        <w:t>供应商于202</w:t>
      </w:r>
      <w:r>
        <w:rPr>
          <w:rFonts w:hint="eastAsia" w:ascii="宋体" w:hAnsi="宋体" w:cs="Tahoma"/>
          <w:kern w:val="0"/>
          <w:szCs w:val="21"/>
          <w:lang w:val="en-US" w:eastAsia="zh-CN"/>
        </w:rPr>
        <w:t>2</w:t>
      </w:r>
      <w:r>
        <w:rPr>
          <w:rFonts w:hint="eastAsia" w:ascii="宋体" w:hAnsi="宋体" w:cs="Tahoma"/>
          <w:kern w:val="0"/>
          <w:szCs w:val="21"/>
        </w:rPr>
        <w:t>年</w:t>
      </w:r>
      <w:r>
        <w:rPr>
          <w:rFonts w:hint="eastAsia" w:ascii="宋体" w:hAnsi="宋体" w:cs="Tahoma"/>
          <w:kern w:val="0"/>
          <w:szCs w:val="21"/>
          <w:lang w:val="en-US" w:eastAsia="zh-CN"/>
        </w:rPr>
        <w:t>11</w:t>
      </w:r>
      <w:r>
        <w:rPr>
          <w:rFonts w:hint="eastAsia" w:ascii="宋体" w:hAnsi="宋体" w:cs="Tahoma"/>
          <w:kern w:val="0"/>
          <w:szCs w:val="21"/>
        </w:rPr>
        <w:t>月</w:t>
      </w:r>
      <w:r>
        <w:rPr>
          <w:rFonts w:hint="eastAsia" w:ascii="宋体" w:hAnsi="宋体" w:cs="Tahoma"/>
          <w:kern w:val="0"/>
          <w:szCs w:val="21"/>
          <w:lang w:val="en-US" w:eastAsia="zh-CN"/>
        </w:rPr>
        <w:t>16</w:t>
      </w:r>
      <w:r>
        <w:rPr>
          <w:rFonts w:hint="eastAsia" w:ascii="宋体" w:hAnsi="宋体" w:cs="Tahoma"/>
          <w:kern w:val="0"/>
          <w:szCs w:val="21"/>
        </w:rPr>
        <w:t>日17时30分前，将盖公章的获取单一来源谈判文件的函（详见附件）发送至邮箱</w:t>
      </w:r>
      <w:r>
        <w:rPr>
          <w:rFonts w:hint="eastAsia" w:ascii="宋体" w:hAnsi="宋体" w:cs="Tahoma"/>
          <w:kern w:val="0"/>
          <w:szCs w:val="21"/>
          <w:lang w:eastAsia="zh-CN"/>
        </w:rPr>
        <w:t>3050346988</w:t>
      </w:r>
      <w:r>
        <w:rPr>
          <w:rFonts w:hint="eastAsia" w:ascii="宋体" w:hAnsi="宋体" w:cs="Tahoma"/>
          <w:kern w:val="0"/>
          <w:szCs w:val="21"/>
        </w:rPr>
        <w:t>@qq.com。（超过时间的邮件无效，无法获取文件）。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szCs w:val="21"/>
        </w:rPr>
        <w:t>四、工本费：免费。</w:t>
      </w:r>
    </w:p>
    <w:p>
      <w:pPr>
        <w:spacing w:line="560" w:lineRule="exact"/>
        <w:ind w:firstLine="420" w:firstLineChars="200"/>
        <w:rPr>
          <w:rFonts w:ascii="宋体" w:hAnsi="宋体" w:cs="Tahoma"/>
          <w:kern w:val="0"/>
          <w:szCs w:val="21"/>
        </w:rPr>
      </w:pPr>
      <w:r>
        <w:rPr>
          <w:rFonts w:hint="eastAsia" w:ascii="宋体" w:hAnsi="宋体" w:cs="宋体"/>
          <w:szCs w:val="21"/>
        </w:rPr>
        <w:t>五、谈判响应截止时间2022年11月17日9时00分</w:t>
      </w:r>
    </w:p>
    <w:p>
      <w:pPr>
        <w:spacing w:line="560" w:lineRule="exact"/>
        <w:ind w:firstLine="420" w:firstLineChars="200"/>
        <w:rPr>
          <w:rFonts w:ascii="宋体" w:hAnsi="宋体" w:cs="Tahoma"/>
          <w:kern w:val="0"/>
          <w:szCs w:val="21"/>
        </w:rPr>
      </w:pPr>
      <w:r>
        <w:rPr>
          <w:rFonts w:hint="eastAsia" w:ascii="宋体" w:hAnsi="宋体" w:cs="Tahoma"/>
          <w:kern w:val="0"/>
          <w:szCs w:val="21"/>
        </w:rPr>
        <w:t>六、采购谈判时间及地点：</w:t>
      </w:r>
    </w:p>
    <w:p>
      <w:pPr>
        <w:spacing w:line="560" w:lineRule="exact"/>
        <w:rPr>
          <w:rFonts w:ascii="宋体" w:hAnsi="宋体" w:cs="Tahoma"/>
          <w:kern w:val="0"/>
          <w:szCs w:val="21"/>
          <w:u w:val="single"/>
        </w:rPr>
      </w:pPr>
      <w:r>
        <w:rPr>
          <w:rFonts w:hint="eastAsia" w:ascii="宋体" w:hAnsi="宋体" w:cs="Tahoma"/>
          <w:kern w:val="0"/>
          <w:szCs w:val="21"/>
        </w:rPr>
        <w:t xml:space="preserve">    时间：</w:t>
      </w:r>
      <w:r>
        <w:rPr>
          <w:rFonts w:hint="eastAsia" w:ascii="宋体" w:hAnsi="宋体" w:cs="宋体"/>
          <w:szCs w:val="21"/>
          <w:u w:val="none"/>
        </w:rPr>
        <w:t>2022年11月17日9时00分</w:t>
      </w:r>
    </w:p>
    <w:p>
      <w:pPr>
        <w:spacing w:line="560" w:lineRule="exact"/>
        <w:ind w:firstLine="420" w:firstLineChars="200"/>
        <w:rPr>
          <w:rFonts w:ascii="宋体" w:hAnsi="宋体" w:cs="宋体"/>
          <w:szCs w:val="21"/>
          <w:highlight w:val="yellow"/>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1、采购人名称：安庆职业技术学院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 xml:space="preserve">       联系人：</w:t>
      </w:r>
      <w:r>
        <w:rPr>
          <w:rFonts w:hint="eastAsia" w:ascii="宋体" w:hAnsi="宋体" w:cs="宋体"/>
          <w:kern w:val="0"/>
          <w:szCs w:val="21"/>
          <w:highlight w:val="none"/>
          <w:lang w:val="en-US" w:eastAsia="zh-CN"/>
        </w:rPr>
        <w:t>朱</w:t>
      </w:r>
      <w:r>
        <w:rPr>
          <w:rFonts w:hint="eastAsia" w:ascii="宋体" w:hAnsi="宋体" w:cs="宋体"/>
          <w:kern w:val="0"/>
          <w:szCs w:val="21"/>
          <w:highlight w:val="none"/>
        </w:rPr>
        <w:t xml:space="preserve">老师         电话：0556-5283045   </w:t>
      </w:r>
      <w:r>
        <w:rPr>
          <w:rFonts w:hint="eastAsia" w:ascii="宋体" w:hAnsi="宋体" w:cs="宋体"/>
          <w:kern w:val="0"/>
          <w:szCs w:val="21"/>
          <w:highlight w:val="none"/>
          <w:lang w:val="en-US" w:eastAsia="zh-CN"/>
        </w:rPr>
        <w:t xml:space="preserve">        </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地址：安庆市龙山路215号五楼政府采购部办公室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w:t>
      </w:r>
      <w:r>
        <w:rPr>
          <w:rFonts w:hint="eastAsia" w:ascii="宋体" w:hAnsi="宋体" w:cs="宋体"/>
          <w:kern w:val="0"/>
          <w:szCs w:val="21"/>
          <w:lang w:val="en-US" w:eastAsia="zh-CN"/>
        </w:rPr>
        <w:t>戴福婧</w:t>
      </w:r>
      <w:r>
        <w:rPr>
          <w:rFonts w:hint="eastAsia" w:ascii="宋体" w:hAnsi="宋体" w:cs="宋体"/>
          <w:kern w:val="0"/>
          <w:szCs w:val="21"/>
        </w:rPr>
        <w:t xml:space="preserve">         电话：0556-599115</w:t>
      </w:r>
      <w:r>
        <w:rPr>
          <w:rFonts w:hint="eastAsia" w:ascii="宋体" w:hAnsi="宋体" w:cs="宋体"/>
          <w:kern w:val="0"/>
          <w:szCs w:val="21"/>
          <w:lang w:val="en-US" w:eastAsia="zh-CN"/>
        </w:rPr>
        <w:t>3</w:t>
      </w:r>
      <w:r>
        <w:rPr>
          <w:rFonts w:hint="eastAsia" w:ascii="宋体" w:hAnsi="宋体" w:cs="宋体"/>
          <w:kern w:val="0"/>
          <w:szCs w:val="21"/>
        </w:rPr>
        <w:t>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1、谈判响应人的联系人电话(手机)、电子邮箱等通讯方式在谈判过程中必须保持畅通，否则因上述原因造成的后果，责任自负。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hint="eastAsia" w:ascii="宋体" w:hAnsi="宋体" w:cs="Tahoma"/>
          <w:kern w:val="0"/>
          <w:szCs w:val="21"/>
        </w:rPr>
        <w:t>202</w:t>
      </w:r>
      <w:r>
        <w:rPr>
          <w:rFonts w:hint="eastAsia" w:ascii="宋体" w:hAnsi="宋体" w:cs="Tahoma"/>
          <w:kern w:val="0"/>
          <w:szCs w:val="21"/>
          <w:lang w:val="en-US" w:eastAsia="zh-CN"/>
        </w:rPr>
        <w:t>2</w:t>
      </w:r>
      <w:r>
        <w:rPr>
          <w:rFonts w:ascii="宋体" w:hAnsi="宋体" w:cs="Tahoma"/>
          <w:kern w:val="0"/>
          <w:szCs w:val="21"/>
        </w:rPr>
        <w:t>年</w:t>
      </w:r>
      <w:r>
        <w:rPr>
          <w:rFonts w:hint="eastAsia" w:ascii="宋体" w:hAnsi="宋体" w:cs="Tahoma"/>
          <w:kern w:val="0"/>
          <w:szCs w:val="21"/>
          <w:lang w:val="en-US" w:eastAsia="zh-CN"/>
        </w:rPr>
        <w:t>11</w:t>
      </w:r>
      <w:r>
        <w:rPr>
          <w:rFonts w:ascii="宋体" w:hAnsi="宋体" w:cs="Tahoma"/>
          <w:kern w:val="0"/>
          <w:szCs w:val="21"/>
        </w:rPr>
        <w:t>月</w:t>
      </w:r>
      <w:r>
        <w:rPr>
          <w:rFonts w:hint="eastAsia" w:ascii="宋体" w:hAnsi="宋体" w:cs="Tahoma"/>
          <w:kern w:val="0"/>
          <w:szCs w:val="21"/>
          <w:lang w:val="en-US" w:eastAsia="zh-CN"/>
        </w:rPr>
        <w:t>14</w:t>
      </w:r>
      <w:r>
        <w:rPr>
          <w:rFonts w:ascii="宋体" w:hAnsi="宋体" w:cs="Tahoma"/>
          <w:kern w:val="0"/>
          <w:szCs w:val="21"/>
        </w:rPr>
        <w:t>日</w:t>
      </w:r>
    </w:p>
    <w:p>
      <w:pPr>
        <w:spacing w:line="560" w:lineRule="exact"/>
        <w:ind w:right="360" w:firstLine="420" w:firstLineChars="200"/>
        <w:jc w:val="right"/>
        <w:rPr>
          <w:rFonts w:ascii="宋体" w:hAnsi="宋体" w:cs="Tahoma"/>
          <w:kern w:val="0"/>
          <w:szCs w:val="21"/>
        </w:rPr>
      </w:pPr>
    </w:p>
    <w:p>
      <w:pPr>
        <w:pStyle w:val="3"/>
        <w:jc w:val="left"/>
        <w:rPr>
          <w:rFonts w:ascii="宋体" w:hAnsi="宋体" w:cs="宋体"/>
          <w:kern w:val="2"/>
          <w:sz w:val="21"/>
          <w:szCs w:val="21"/>
        </w:rPr>
      </w:pPr>
      <w:bookmarkStart w:id="1" w:name="_Toc18822"/>
      <w:r>
        <w:rPr>
          <w:rFonts w:hint="eastAsia" w:ascii="宋体" w:hAnsi="宋体" w:cs="宋体"/>
          <w:kern w:val="2"/>
          <w:sz w:val="21"/>
          <w:szCs w:val="21"/>
        </w:rPr>
        <w:t>附件：</w:t>
      </w:r>
      <w:bookmarkEnd w:id="1"/>
    </w:p>
    <w:p>
      <w:pPr>
        <w:pStyle w:val="3"/>
        <w:rPr>
          <w:rFonts w:ascii="宋体" w:hAnsi="宋体" w:cs="宋体"/>
          <w:kern w:val="2"/>
          <w:sz w:val="21"/>
          <w:szCs w:val="21"/>
        </w:rPr>
      </w:pPr>
      <w:bookmarkStart w:id="2" w:name="_Toc15973"/>
      <w:r>
        <w:rPr>
          <w:rFonts w:hint="eastAsia" w:ascii="宋体" w:hAnsi="宋体" w:cs="宋体"/>
          <w:kern w:val="2"/>
          <w:sz w:val="21"/>
          <w:szCs w:val="21"/>
        </w:rPr>
        <w:t>获取单一来源谈判文件的函</w:t>
      </w:r>
      <w:bookmarkEnd w:id="2"/>
    </w:p>
    <w:p>
      <w:pPr>
        <w:spacing w:line="360" w:lineRule="auto"/>
        <w:rPr>
          <w:rFonts w:ascii="宋体" w:hAnsi="宋体" w:cs="宋体"/>
          <w:szCs w:val="21"/>
        </w:rPr>
      </w:pPr>
      <w:r>
        <w:rPr>
          <w:rFonts w:hint="eastAsia" w:ascii="宋体" w:hAnsi="宋体" w:cs="宋体"/>
          <w:szCs w:val="21"/>
        </w:rPr>
        <w:t>安庆市皖宜项目咨询管理有限公司：</w:t>
      </w:r>
    </w:p>
    <w:p>
      <w:pPr>
        <w:spacing w:line="360" w:lineRule="auto"/>
        <w:ind w:firstLine="420" w:firstLineChars="200"/>
        <w:rPr>
          <w:rFonts w:ascii="宋体" w:hAnsi="宋体" w:cs="宋体"/>
          <w:szCs w:val="21"/>
        </w:rPr>
      </w:pPr>
      <w:r>
        <w:rPr>
          <w:rFonts w:hint="eastAsia" w:ascii="宋体" w:hAnsi="宋体" w:cs="宋体"/>
          <w:szCs w:val="21"/>
        </w:rPr>
        <w:t>我单位要求获取</w:t>
      </w:r>
      <w:r>
        <w:rPr>
          <w:rFonts w:hint="eastAsia" w:ascii="宋体" w:hAnsi="宋体" w:cs="宋体"/>
          <w:szCs w:val="21"/>
          <w:lang w:eastAsia="zh-CN"/>
        </w:rPr>
        <w:t>安庆职业技术学院2022年数字资源采购(中国知网CNKI数据库）项目</w:t>
      </w:r>
      <w:r>
        <w:rPr>
          <w:rFonts w:hint="eastAsia" w:ascii="宋体" w:hAnsi="宋体" w:cs="宋体"/>
          <w:szCs w:val="21"/>
        </w:rPr>
        <w:t>的单一来源谈判文件电子版，该电子版仅做本次投标使用，并承诺不做外用。</w:t>
      </w:r>
    </w:p>
    <w:p>
      <w:pPr>
        <w:spacing w:line="360" w:lineRule="auto"/>
        <w:ind w:firstLine="420" w:firstLineChars="200"/>
        <w:rPr>
          <w:rFonts w:ascii="宋体" w:hAnsi="宋体" w:cs="宋体"/>
          <w:szCs w:val="21"/>
        </w:rPr>
      </w:pPr>
      <w:r>
        <w:rPr>
          <w:rFonts w:hint="eastAsia" w:ascii="宋体" w:hAnsi="宋体" w:cs="宋体"/>
          <w:szCs w:val="21"/>
        </w:rPr>
        <w:t>请将</w:t>
      </w:r>
      <w:r>
        <w:rPr>
          <w:rFonts w:hint="eastAsia" w:ascii="宋体" w:hAnsi="宋体" w:cs="宋体"/>
          <w:szCs w:val="21"/>
          <w:lang w:eastAsia="zh-CN"/>
        </w:rPr>
        <w:t>安庆职业技术学院2022年数字资源采购(中国知网CNKI数据库）项目</w:t>
      </w:r>
      <w:r>
        <w:rPr>
          <w:rFonts w:hint="eastAsia" w:ascii="宋体" w:hAnsi="宋体" w:cs="宋体"/>
          <w:szCs w:val="21"/>
        </w:rPr>
        <w:t>单一来源谈判文件发至以下邮箱：</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联系人： </w:t>
      </w:r>
    </w:p>
    <w:p>
      <w:pPr>
        <w:spacing w:line="360" w:lineRule="auto"/>
        <w:ind w:firstLine="420" w:firstLineChars="200"/>
        <w:rPr>
          <w:rFonts w:ascii="仿宋" w:hAnsi="仿宋" w:eastAsia="仿宋" w:cs="仿宋"/>
          <w:sz w:val="28"/>
          <w:szCs w:val="28"/>
        </w:rPr>
      </w:pPr>
      <w:r>
        <w:rPr>
          <w:rFonts w:hint="eastAsia" w:ascii="宋体" w:hAnsi="宋体" w:cs="宋体"/>
          <w:szCs w:val="21"/>
        </w:rPr>
        <w:t xml:space="preserve">联系方式：    </w:t>
      </w:r>
      <w:r>
        <w:rPr>
          <w:rFonts w:hint="eastAsia" w:ascii="仿宋" w:hAnsi="仿宋" w:eastAsia="仿宋" w:cs="仿宋"/>
          <w:sz w:val="28"/>
          <w:szCs w:val="28"/>
        </w:rPr>
        <w:t xml:space="preserve">     </w:t>
      </w:r>
    </w:p>
    <w:p>
      <w:pPr>
        <w:ind w:firstLine="640"/>
        <w:rPr>
          <w:rFonts w:ascii="仿宋" w:hAnsi="仿宋" w:eastAsia="仿宋" w:cs="仿宋"/>
          <w:sz w:val="28"/>
          <w:szCs w:val="28"/>
        </w:rPr>
      </w:pPr>
    </w:p>
    <w:p>
      <w:pPr>
        <w:spacing w:line="360" w:lineRule="auto"/>
        <w:ind w:firstLine="560" w:firstLineChars="200"/>
        <w:rPr>
          <w:rFonts w:ascii="宋体" w:hAnsi="宋体" w:cs="宋体"/>
          <w:szCs w:val="21"/>
        </w:rPr>
      </w:pPr>
      <w:r>
        <w:rPr>
          <w:rFonts w:hint="eastAsia" w:ascii="仿宋" w:hAnsi="仿宋" w:eastAsia="仿宋" w:cs="仿宋"/>
          <w:sz w:val="28"/>
          <w:szCs w:val="28"/>
        </w:rPr>
        <w:t xml:space="preserve">                                 </w:t>
      </w:r>
      <w:r>
        <w:rPr>
          <w:rFonts w:hint="eastAsia" w:ascii="宋体" w:hAnsi="宋体" w:cs="宋体"/>
          <w:szCs w:val="21"/>
        </w:rPr>
        <w:t xml:space="preserve"> XXX（单位名称）</w:t>
      </w:r>
    </w:p>
    <w:p>
      <w:pPr>
        <w:spacing w:line="360" w:lineRule="auto"/>
        <w:ind w:firstLine="420" w:firstLineChars="200"/>
        <w:rPr>
          <w:rFonts w:ascii="宋体" w:hAnsi="宋体" w:cs="宋体"/>
          <w:szCs w:val="21"/>
        </w:rPr>
      </w:pPr>
      <w:r>
        <w:rPr>
          <w:rFonts w:hint="eastAsia" w:ascii="宋体" w:hAnsi="宋体" w:cs="宋体"/>
          <w:szCs w:val="21"/>
        </w:rPr>
        <w:t xml:space="preserve">                                                 年   月  日</w:t>
      </w: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pStyle w:val="3"/>
        <w:numPr>
          <w:ilvl w:val="0"/>
          <w:numId w:val="1"/>
        </w:numPr>
      </w:pPr>
      <w:bookmarkStart w:id="3" w:name="_Toc399143396"/>
      <w:bookmarkStart w:id="4" w:name="_Toc6847631"/>
      <w:r>
        <w:rPr>
          <w:rFonts w:hint="eastAsia"/>
        </w:rPr>
        <w:t>谈判响应人须知</w:t>
      </w:r>
      <w:bookmarkEnd w:id="3"/>
      <w:bookmarkEnd w:id="4"/>
    </w:p>
    <w:p>
      <w:pPr>
        <w:pStyle w:val="63"/>
      </w:pPr>
      <w:bookmarkStart w:id="5" w:name="_Toc399143397"/>
      <w:bookmarkStart w:id="6" w:name="_Toc437588874"/>
      <w:bookmarkStart w:id="7" w:name="_Toc6847632"/>
      <w:r>
        <w:rPr>
          <w:rFonts w:hint="eastAsia"/>
        </w:rPr>
        <w:t>第一节 谈判响应人须知前附表</w:t>
      </w:r>
      <w:bookmarkEnd w:id="5"/>
      <w:bookmarkEnd w:id="6"/>
      <w:bookmarkEnd w:id="7"/>
    </w:p>
    <w:tbl>
      <w:tblPr>
        <w:tblStyle w:val="23"/>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8819303"/>
            <w:bookmarkStart w:id="9" w:name="_Toc399143398"/>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eastAsia="宋体"/>
                <w:szCs w:val="21"/>
                <w:lang w:eastAsia="zh-CN"/>
              </w:rPr>
              <w:t>CG-AQ-W2022-159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szCs w:val="21"/>
                <w:lang w:eastAsia="zh-CN"/>
              </w:rPr>
              <w:t>安庆职业技术学院2022年数字资源采购(中国知网CNKI数据库）项目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人民币贰拾万元整（￥200000.00元）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color w:val="auto"/>
                <w:szCs w:val="21"/>
                <w:highlight w:val="none"/>
              </w:rPr>
            </w:pPr>
            <w:r>
              <w:rPr>
                <w:rFonts w:hint="eastAsia"/>
                <w:color w:val="auto"/>
                <w:szCs w:val="21"/>
                <w:highlight w:val="none"/>
              </w:rPr>
              <w:t>合同签订后</w:t>
            </w:r>
            <w:r>
              <w:rPr>
                <w:rFonts w:hint="eastAsia"/>
                <w:color w:val="auto"/>
                <w:szCs w:val="21"/>
                <w:highlight w:val="none"/>
                <w:lang w:val="en-US" w:eastAsia="zh-CN"/>
              </w:rPr>
              <w:t>5</w:t>
            </w:r>
            <w:r>
              <w:rPr>
                <w:rFonts w:hint="eastAsia"/>
                <w:color w:val="auto"/>
                <w:szCs w:val="21"/>
                <w:highlight w:val="none"/>
              </w:rPr>
              <w:t>日内完成调试，免费服务期限为验收合格之日起1年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1.符合《中华人民共和国政府采购法》第二十二条规定；</w:t>
            </w:r>
          </w:p>
          <w:p>
            <w:pPr>
              <w:spacing w:line="420" w:lineRule="exact"/>
              <w:rPr>
                <w:rFonts w:hint="eastAsia" w:ascii="宋体" w:hAnsi="宋体" w:cs="宋体"/>
                <w:color w:val="auto"/>
                <w:kern w:val="0"/>
                <w:szCs w:val="21"/>
              </w:rPr>
            </w:pPr>
            <w:r>
              <w:rPr>
                <w:rFonts w:hint="eastAsia" w:ascii="宋体" w:hAnsi="宋体" w:cs="宋体"/>
                <w:color w:val="auto"/>
                <w:kern w:val="0"/>
                <w:szCs w:val="21"/>
              </w:rPr>
              <w:t>2.落实政府采购政策需满足的资格要求：/；</w:t>
            </w:r>
          </w:p>
          <w:p>
            <w:pPr>
              <w:spacing w:line="420" w:lineRule="exact"/>
              <w:rPr>
                <w:rFonts w:hint="eastAsia" w:ascii="宋体" w:hAnsi="宋体" w:cs="宋体"/>
                <w:color w:val="auto"/>
                <w:kern w:val="0"/>
                <w:szCs w:val="21"/>
              </w:rPr>
            </w:pPr>
            <w:r>
              <w:rPr>
                <w:rFonts w:hint="eastAsia" w:ascii="宋体" w:hAnsi="宋体" w:cs="宋体"/>
                <w:color w:val="auto"/>
                <w:kern w:val="0"/>
                <w:szCs w:val="21"/>
              </w:rPr>
              <w:t>3.本项目的特定资格要求：/；</w:t>
            </w:r>
          </w:p>
          <w:p>
            <w:pPr>
              <w:spacing w:line="420" w:lineRule="exact"/>
              <w:rPr>
                <w:color w:val="auto"/>
                <w:szCs w:val="21"/>
              </w:rPr>
            </w:pPr>
            <w:r>
              <w:rPr>
                <w:rFonts w:hint="eastAsia" w:ascii="宋体" w:hAnsi="宋体" w:cs="宋体"/>
                <w:color w:val="auto"/>
                <w:kern w:val="0"/>
                <w:szCs w:val="21"/>
              </w:rPr>
              <w:t>4.本项目不接受联合体。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color w:val="auto"/>
                <w:szCs w:val="21"/>
              </w:rPr>
            </w:pPr>
            <w:r>
              <w:rPr>
                <w:rFonts w:hint="eastAsia" w:ascii="宋体" w:hAnsi="宋体"/>
                <w:color w:val="auto"/>
                <w:szCs w:val="21"/>
                <w:u w:val="single"/>
              </w:rPr>
              <w:t>9</w:t>
            </w:r>
            <w:r>
              <w:rPr>
                <w:rFonts w:ascii="宋体" w:hAnsi="宋体"/>
                <w:color w:val="auto"/>
                <w:szCs w:val="21"/>
                <w:u w:val="single"/>
              </w:rPr>
              <w:t>0</w:t>
            </w:r>
            <w:r>
              <w:rPr>
                <w:rFonts w:hint="eastAsia" w:ascii="宋体" w:hAnsi="宋体"/>
                <w:color w:val="auto"/>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pacing w:val="-14"/>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Cs/>
                <w:color w:val="auto"/>
                <w:spacing w:val="-14"/>
                <w:szCs w:val="21"/>
              </w:rPr>
            </w:pPr>
            <w:r>
              <w:rPr>
                <w:rFonts w:hint="eastAsia" w:ascii="宋体" w:hAnsi="宋体"/>
                <w:bCs/>
                <w:color w:val="auto"/>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cs="宋体"/>
                <w:color w:val="auto"/>
                <w:szCs w:val="21"/>
              </w:rPr>
            </w:pPr>
            <w:r>
              <w:rPr>
                <w:rFonts w:hint="eastAsia" w:ascii="宋体" w:hAnsi="宋体" w:cs="宋体"/>
                <w:color w:val="auto"/>
                <w:szCs w:val="21"/>
              </w:rPr>
              <w:t>1、提交响应文件截止时间：2022年11月17日9时00分</w:t>
            </w:r>
          </w:p>
          <w:p>
            <w:pPr>
              <w:adjustRightInd w:val="0"/>
              <w:snapToGrid w:val="0"/>
              <w:spacing w:line="420" w:lineRule="exact"/>
              <w:rPr>
                <w:rFonts w:hAnsi="宋体"/>
                <w:color w:val="auto"/>
                <w:szCs w:val="21"/>
              </w:rPr>
            </w:pPr>
            <w:r>
              <w:rPr>
                <w:rFonts w:hint="eastAsia" w:hAnsi="宋体"/>
                <w:color w:val="auto"/>
                <w:szCs w:val="21"/>
              </w:rPr>
              <w:t>2、一</w:t>
            </w:r>
            <w:r>
              <w:rPr>
                <w:rFonts w:hAnsi="宋体"/>
                <w:color w:val="auto"/>
                <w:szCs w:val="21"/>
              </w:rPr>
              <w:t>份正本，</w:t>
            </w:r>
            <w:r>
              <w:rPr>
                <w:rFonts w:hint="eastAsia" w:hAnsi="宋体"/>
                <w:color w:val="auto"/>
                <w:szCs w:val="21"/>
              </w:rPr>
              <w:t>二</w:t>
            </w:r>
            <w:r>
              <w:rPr>
                <w:rFonts w:hAnsi="宋体"/>
                <w:color w:val="auto"/>
                <w:szCs w:val="21"/>
              </w:rPr>
              <w:t>份副本</w:t>
            </w:r>
            <w:r>
              <w:rPr>
                <w:rFonts w:hint="eastAsia" w:hAnsi="宋体"/>
                <w:color w:val="auto"/>
                <w:szCs w:val="21"/>
              </w:rPr>
              <w:t>，</w:t>
            </w:r>
            <w:r>
              <w:rPr>
                <w:rFonts w:hint="eastAsia" w:hAnsi="宋体"/>
                <w:color w:val="auto"/>
              </w:rPr>
              <w:t>装在同一密封袋内，</w:t>
            </w:r>
            <w:r>
              <w:rPr>
                <w:rFonts w:hint="eastAsia" w:hAnsi="宋体" w:cs="宋体"/>
                <w:color w:val="auto"/>
              </w:rPr>
              <w:t>密封提交。</w:t>
            </w:r>
          </w:p>
          <w:p>
            <w:pPr>
              <w:pStyle w:val="12"/>
              <w:spacing w:line="420" w:lineRule="exact"/>
              <w:rPr>
                <w:rFonts w:ascii="Times New Roman" w:hAnsi="Times New Roman"/>
                <w:color w:val="auto"/>
              </w:rPr>
            </w:pPr>
            <w:r>
              <w:rPr>
                <w:rFonts w:hint="eastAsia" w:ascii="Times New Roman" w:hAnsi="Times New Roman"/>
                <w:color w:val="auto"/>
              </w:rPr>
              <w:t>3、密封袋上应加盖响应人公章。</w:t>
            </w:r>
          </w:p>
          <w:p>
            <w:pPr>
              <w:pStyle w:val="8"/>
              <w:widowControl/>
              <w:spacing w:line="420" w:lineRule="exact"/>
              <w:jc w:val="both"/>
              <w:rPr>
                <w:rFonts w:ascii="宋体" w:hAnsi="宋体"/>
                <w:color w:val="auto"/>
                <w:szCs w:val="21"/>
              </w:rPr>
            </w:pPr>
            <w:r>
              <w:rPr>
                <w:rFonts w:hint="eastAsia"/>
                <w:color w:val="auto"/>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时间:2022年11月17日9时00分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履约保证金金额：成交价的</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5 </w:t>
            </w:r>
            <w:r>
              <w:rPr>
                <w:rFonts w:hint="eastAsia"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olor w:val="auto"/>
                <w:szCs w:val="21"/>
              </w:rPr>
            </w:pPr>
            <w:r>
              <w:rPr>
                <w:rFonts w:hint="eastAsia" w:ascii="宋体" w:hAnsi="宋体" w:cs="宋体"/>
                <w:color w:val="auto"/>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验收合格后支付全部合同价款，成交人已缴纳的履约保证金一年后一次性退还（不计息）。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3"/>
      </w:pPr>
      <w:bookmarkStart w:id="10" w:name="_Toc6847633"/>
      <w:r>
        <w:rPr>
          <w:rFonts w:hint="eastAsia"/>
        </w:rPr>
        <w:t xml:space="preserve">第二节  </w:t>
      </w:r>
      <w:bookmarkEnd w:id="8"/>
      <w:bookmarkEnd w:id="9"/>
      <w:r>
        <w:rPr>
          <w:rFonts w:hint="eastAsia"/>
        </w:rPr>
        <w:t>谈判响应人须知</w:t>
      </w:r>
      <w:bookmarkEnd w:id="10"/>
    </w:p>
    <w:p>
      <w:pPr>
        <w:pStyle w:val="5"/>
        <w:ind w:firstLine="472" w:firstLineChars="196"/>
        <w:jc w:val="both"/>
      </w:pPr>
      <w:bookmarkStart w:id="11" w:name="_Toc388283734"/>
      <w:bookmarkStart w:id="12" w:name="_Toc12467"/>
      <w:bookmarkStart w:id="13" w:name="_Toc6847634"/>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hint="eastAsia" w:ascii="Arial" w:hAnsi="Arial" w:cs="Arial"/>
        </w:rPr>
        <w:t>银行、保险、石油化工、电力、电信等特殊行业的分公司参与投标，须取得总公司的相关授权（谈判响应文件中须提供）；银行、保险、石油化工、电力、电信等特殊行业的分公司取得总公司相关授权后，谈判文件中关于法定代表人的要求事项可由分公司负责人代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5"/>
        <w:ind w:firstLine="472" w:firstLineChars="196"/>
      </w:pPr>
      <w:bookmarkStart w:id="14" w:name="_Toc388283735"/>
      <w:bookmarkStart w:id="15" w:name="_Toc14586"/>
      <w:bookmarkStart w:id="16" w:name="_Toc6847635"/>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服务需求及技术要求；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szCs w:val="21"/>
        </w:rPr>
        <w:t>提出并将问题发送至邮箱</w:t>
      </w:r>
      <w:r>
        <w:rPr>
          <w:rFonts w:hint="eastAsia" w:ascii="宋体" w:hAnsi="宋体" w:cs="宋体"/>
          <w:szCs w:val="21"/>
          <w:lang w:eastAsia="zh-CN"/>
        </w:rPr>
        <w:t>3050346988</w:t>
      </w:r>
      <w:r>
        <w:rPr>
          <w:rFonts w:hint="eastAsia" w:ascii="宋体" w:hAnsi="宋体" w:cs="宋体"/>
          <w:szCs w:val="21"/>
        </w:rPr>
        <w:t>@qq.com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w:t>
      </w:r>
      <w:r>
        <w:rPr>
          <w:rFonts w:hint="eastAsia" w:hAnsi="宋体"/>
          <w:szCs w:val="20"/>
          <w:lang w:eastAsia="zh-CN"/>
        </w:rPr>
        <w:t>3050346988</w:t>
      </w:r>
      <w:r>
        <w:rPr>
          <w:rFonts w:hint="eastAsia" w:hAnsi="宋体"/>
          <w:szCs w:val="20"/>
        </w:rPr>
        <w:t>@qq.com。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14496"/>
      <w:bookmarkStart w:id="18" w:name="_Toc38828373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8.2、采购单位对谈判响应人质疑的答复和对谈判文件的澄清、修改、补充说明等内容均通过</w:t>
      </w:r>
      <w:r>
        <w:rPr>
          <w:rFonts w:hint="eastAsia" w:ascii="宋体" w:hAnsi="宋体" w:cs="宋体"/>
          <w:szCs w:val="21"/>
        </w:rPr>
        <w:t>安庆职业技术学院（https://www.aqvtc.edu.cn/）招标采购栏目</w:t>
      </w:r>
      <w:r>
        <w:rPr>
          <w:rFonts w:hint="eastAsia" w:ascii="宋体" w:hAnsi="宋体"/>
          <w:szCs w:val="21"/>
        </w:rPr>
        <w:t>发布，该修改内容作为谈判文件的组成部分，具有约束作用。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cs="宋体"/>
          <w:szCs w:val="21"/>
        </w:rPr>
        <w:t>安庆职业技术学院网站</w:t>
      </w:r>
      <w:r>
        <w:rPr>
          <w:rFonts w:hint="eastAsia" w:ascii="宋体" w:hAnsi="宋体"/>
          <w:szCs w:val="21"/>
        </w:rPr>
        <w:t>发布。</w:t>
      </w:r>
      <w:bookmarkEnd w:id="17"/>
      <w:bookmarkEnd w:id="18"/>
    </w:p>
    <w:p>
      <w:pPr>
        <w:pStyle w:val="5"/>
        <w:ind w:firstLine="472" w:firstLineChars="196"/>
      </w:pPr>
      <w:bookmarkStart w:id="19" w:name="_Toc6847636"/>
      <w:bookmarkStart w:id="20" w:name="_Toc9821"/>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388283737"/>
      <w:bookmarkStart w:id="22" w:name="_Toc17260"/>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11.1、谈判响应文件的服务报价表（首轮）上应清楚地标明谈判响应人拟提供服务的名称、服务内容、单位、数量、单价和总价等内容。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谈判响应人的报价应包含满足本次采购需求的所有费用（包括但不限于：所投服务、保险、税费、包装、调试、检测验收和交付后约定期限内维保等）。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bCs/>
          <w:szCs w:val="21"/>
        </w:rPr>
        <w:t>13.谈判响应人在本项</w:t>
      </w:r>
      <w:r>
        <w:rPr>
          <w:rFonts w:hint="eastAsia" w:ascii="宋体" w:hAnsi="宋体"/>
          <w:b/>
          <w:szCs w:val="21"/>
        </w:rPr>
        <w:t>目谈判过程中有下列行为之一的，成交无效，给采购人造成的损失，谈判响应人还应予以赔偿。构成犯罪的，依法追究刑事责任。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2"/>
        <w:spacing w:line="360" w:lineRule="exact"/>
        <w:ind w:firstLine="422" w:firstLineChars="200"/>
        <w:rPr>
          <w:rFonts w:hAnsi="宋体"/>
          <w:b/>
          <w:szCs w:val="21"/>
        </w:rPr>
      </w:pPr>
      <w:r>
        <w:rPr>
          <w:rFonts w:hint="eastAsia" w:hAnsi="宋体"/>
          <w:b/>
          <w:szCs w:val="21"/>
        </w:rPr>
        <w:t>15、谈判响应文件的签署</w:t>
      </w:r>
    </w:p>
    <w:p>
      <w:pPr>
        <w:pStyle w:val="12"/>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15.2、谈判响应文件应由谈判响应人的法定代表人或委托代理人加盖印章，并加盖谈判响应人公章。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2"/>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服务报价表（首轮）、最终报价表、服务内容及质量要求响应表、声明</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Times New Roman" w:hAnsi="宋体"/>
          <w:b/>
        </w:rPr>
        <w:t>或委托代理人签字或</w:t>
      </w:r>
      <w:r>
        <w:rPr>
          <w:rFonts w:ascii="Times New Roman" w:hAnsi="宋体"/>
          <w:b/>
        </w:rPr>
        <w:t>加盖印章。</w:t>
      </w:r>
      <w:r>
        <w:rPr>
          <w:rFonts w:hint="eastAsia" w:ascii="Times New Roman" w:hAnsi="宋体"/>
          <w:b/>
          <w:spacing w:val="-2"/>
        </w:rPr>
        <w:t>谈判响应文件封面、谈判响应函及服务报价表（首轮）、最终报价表、</w:t>
      </w:r>
      <w:r>
        <w:rPr>
          <w:rFonts w:hint="eastAsia" w:ascii="Times New Roman" w:hAnsi="宋体"/>
          <w:b/>
        </w:rPr>
        <w:t>服务内容及质量要求响应表、声明的签字或盖章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5"/>
        <w:ind w:firstLine="472" w:firstLineChars="196"/>
      </w:pPr>
      <w:bookmarkStart w:id="23" w:name="_Toc25319"/>
      <w:bookmarkStart w:id="24" w:name="_Toc6847637"/>
      <w:r>
        <w:rPr>
          <w:rFonts w:hint="eastAsia"/>
        </w:rPr>
        <w:t>四、谈判响应文件的</w:t>
      </w:r>
      <w:bookmarkEnd w:id="23"/>
      <w:r>
        <w:rPr>
          <w:rFonts w:hint="eastAsia"/>
        </w:rPr>
        <w:t>提交</w:t>
      </w:r>
      <w:bookmarkEnd w:id="24"/>
    </w:p>
    <w:p>
      <w:pPr>
        <w:spacing w:line="360" w:lineRule="auto"/>
        <w:ind w:firstLine="422" w:firstLineChars="200"/>
        <w:rPr>
          <w:rFonts w:ascii="宋体" w:hAnsi="宋体"/>
          <w:b/>
          <w:bCs/>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ascii="宋体" w:hAnsi="宋体" w:cs="宋体"/>
          <w:szCs w:val="21"/>
        </w:rPr>
      </w:pPr>
      <w:r>
        <w:rPr>
          <w:rFonts w:hint="eastAsia" w:ascii="宋体" w:hAnsi="宋体" w:cs="宋体"/>
          <w:szCs w:val="21"/>
        </w:rPr>
        <w:t>16.1响应文件需采用固定胶装方式装订并编码，不得采用活页装订。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16.2供应商应将响应文件的正本、副本同时密封于一个文件袋内。包装密封，并在封袋的封口处加盖单位公章。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16.3密封袋上应写明：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16.4未按上述要求装订、密封和标记的响应文件，将不被接受。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bookmarkStart w:id="25" w:name="_Toc388283739"/>
      <w:r>
        <w:rPr>
          <w:rFonts w:hint="eastAsia" w:ascii="宋体" w:hAnsi="宋体"/>
          <w:szCs w:val="21"/>
        </w:rPr>
        <w:t>17.1、</w:t>
      </w:r>
      <w:r>
        <w:rPr>
          <w:rFonts w:hint="eastAsia" w:ascii="宋体" w:hAnsi="宋体" w:cs="宋体"/>
          <w:szCs w:val="21"/>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szCs w:val="21"/>
        </w:rPr>
        <w:t>并以书面形式通知采购人。补充、修改的内容为响应文件的组成部分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5"/>
        <w:ind w:firstLine="472" w:firstLineChars="196"/>
      </w:pPr>
      <w:bookmarkStart w:id="26" w:name="_Toc6847638"/>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2"/>
        <w:spacing w:line="450" w:lineRule="exact"/>
        <w:ind w:firstLine="420" w:firstLineChars="199"/>
        <w:rPr>
          <w:b/>
        </w:rPr>
      </w:pPr>
      <w:r>
        <w:rPr>
          <w:rFonts w:hint="eastAsia"/>
          <w:b/>
        </w:rPr>
        <w:t>20、谈判程序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20.1.4、</w:t>
      </w:r>
      <w:r>
        <w:rPr>
          <w:rFonts w:hint="eastAsia" w:ascii="宋体" w:hAnsi="宋体" w:cs="宋体"/>
          <w:szCs w:val="21"/>
        </w:rPr>
        <w:t>由</w:t>
      </w:r>
      <w:r>
        <w:rPr>
          <w:rFonts w:hint="eastAsia" w:ascii="宋体" w:hAnsi="宋体" w:cs="宋体"/>
          <w:color w:val="000000"/>
          <w:szCs w:val="21"/>
        </w:rPr>
        <w:t>采购人代表</w:t>
      </w:r>
      <w:r>
        <w:rPr>
          <w:rFonts w:hint="eastAsia" w:ascii="宋体" w:hAnsi="宋体" w:cs="宋体"/>
          <w:szCs w:val="21"/>
        </w:rPr>
        <w:t>检查谈判响应文件的密封情况；</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20.1.5、公布谈判</w:t>
      </w:r>
      <w:r>
        <w:rPr>
          <w:rFonts w:hint="eastAsia" w:ascii="宋体" w:hAnsi="宋体" w:cs="宋体"/>
          <w:szCs w:val="21"/>
        </w:rPr>
        <w:t>响应人名称、谈判响应首轮报价及谈判响应函其他内容，并记录在案；</w:t>
      </w:r>
      <w:r>
        <w:rPr>
          <w:rFonts w:hint="eastAsia" w:ascii="宋体" w:hAnsi="宋体" w:cs="宋体"/>
          <w:szCs w:val="21"/>
        </w:rPr>
        <w:cr/>
      </w:r>
      <w:r>
        <w:rPr>
          <w:rFonts w:hint="eastAsia" w:ascii="宋体" w:hAnsi="宋体" w:cs="宋体"/>
          <w:szCs w:val="21"/>
        </w:rPr>
        <w:t xml:space="preserve">    20.1.6、采购人代表、记录人等有关人员在开标记录表上签字确认；</w:t>
      </w:r>
      <w:r>
        <w:rPr>
          <w:rFonts w:hint="eastAsia" w:ascii="宋体" w:hAnsi="宋体" w:cs="宋体"/>
          <w:szCs w:val="21"/>
        </w:rPr>
        <w:cr/>
      </w:r>
      <w:r>
        <w:rPr>
          <w:rFonts w:hint="eastAsia" w:ascii="宋体" w:hAnsi="宋体" w:cs="宋体"/>
          <w:szCs w:val="21"/>
        </w:rPr>
        <w:t xml:space="preserve">    20.1.7、暂时休会，进入评审阶段；</w:t>
      </w:r>
    </w:p>
    <w:p>
      <w:pPr>
        <w:pStyle w:val="12"/>
        <w:spacing w:line="360" w:lineRule="auto"/>
        <w:ind w:left="426" w:leftChars="203"/>
      </w:pPr>
      <w:r>
        <w:rPr>
          <w:rFonts w:hint="eastAsia" w:hAnsi="宋体" w:cs="宋体"/>
          <w:szCs w:val="21"/>
        </w:rPr>
        <w:t>20.1.8  谈判小组与谈判响应人进行谈判，</w:t>
      </w:r>
      <w:r>
        <w:rPr>
          <w:rFonts w:hint="eastAsia"/>
        </w:rPr>
        <w:t>谈判小组根据谈判文件和谈判响应人的谈判响应文件编制谈判提纲、与谈判响应人采取一轮式一对一谈判；</w:t>
      </w:r>
    </w:p>
    <w:p>
      <w:pPr>
        <w:pStyle w:val="12"/>
        <w:spacing w:line="360" w:lineRule="auto"/>
        <w:ind w:left="426" w:leftChars="203"/>
        <w:rPr>
          <w:rFonts w:hAnsi="宋体" w:cs="宋体"/>
          <w:szCs w:val="21"/>
        </w:rPr>
      </w:pPr>
      <w:r>
        <w:rPr>
          <w:rFonts w:hint="eastAsia"/>
        </w:rPr>
        <w:t>20.1.9</w:t>
      </w:r>
      <w:r>
        <w:rPr>
          <w:rFonts w:hint="eastAsia" w:hAnsi="宋体" w:cs="宋体"/>
          <w:szCs w:val="21"/>
        </w:rPr>
        <w:t>谈判响应人进行最终报价；</w:t>
      </w:r>
    </w:p>
    <w:p>
      <w:pPr>
        <w:pStyle w:val="12"/>
        <w:spacing w:line="360" w:lineRule="auto"/>
        <w:ind w:left="420" w:leftChars="200"/>
        <w:rPr>
          <w:rFonts w:hAnsi="宋体" w:cs="宋体"/>
          <w:szCs w:val="21"/>
        </w:rPr>
      </w:pPr>
      <w:r>
        <w:rPr>
          <w:rFonts w:hint="eastAsia" w:hAnsi="宋体" w:cs="宋体"/>
          <w:szCs w:val="21"/>
        </w:rPr>
        <w:t>20.1.10</w:t>
      </w:r>
      <w:r>
        <w:rPr>
          <w:rFonts w:hint="eastAsia"/>
        </w:rPr>
        <w:t>依据谈判响应人的承诺及定标原则确定成交候选人，谈判小组提出书面报告并推荐成交候选人名单</w:t>
      </w:r>
      <w:r>
        <w:rPr>
          <w:rFonts w:hint="eastAsia"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20.1.11 复会，宣布评审结果。</w:t>
      </w:r>
    </w:p>
    <w:p>
      <w:pPr>
        <w:pStyle w:val="12"/>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hAnsi="宋体"/>
          <w:szCs w:val="21"/>
        </w:rPr>
      </w:pPr>
      <w:r>
        <w:rPr>
          <w:rFonts w:hint="eastAsia" w:ascii="宋体" w:hAnsi="宋体"/>
          <w:szCs w:val="21"/>
        </w:rPr>
        <w:t>21.2、</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r>
        <w:rPr>
          <w:rFonts w:hint="eastAsia" w:ascii="宋体" w:hAnsi="宋体" w:cs="宋体"/>
          <w:color w:val="000000"/>
          <w:szCs w:val="21"/>
        </w:rPr>
        <w:t xml:space="preserve"> </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rPr>
        <w:t>谈判响应文件封面、谈判响应函、服务报价表（首轮）、最终报价表、服务内容及质量要求响应表</w:t>
      </w:r>
      <w:r>
        <w:rPr>
          <w:rFonts w:hint="eastAsia" w:ascii="宋体" w:hAnsi="宋体" w:cs="宋体"/>
          <w:color w:val="000000"/>
          <w:szCs w:val="21"/>
        </w:rPr>
        <w:t xml:space="preserve">不符合谈判文件要求拒绝补齐签字或拒绝承诺在合同签订前加盖印章的； </w:t>
      </w:r>
    </w:p>
    <w:p>
      <w:pPr>
        <w:spacing w:line="360" w:lineRule="auto"/>
        <w:ind w:firstLine="420" w:firstLineChars="200"/>
        <w:rPr>
          <w:rFonts w:ascii="宋体" w:hAnsi="宋体"/>
          <w:szCs w:val="21"/>
        </w:rPr>
      </w:pPr>
      <w:r>
        <w:rPr>
          <w:rFonts w:hint="eastAsia" w:ascii="宋体" w:hAnsi="宋体"/>
          <w:szCs w:val="21"/>
        </w:rPr>
        <w:t>22.2.3 响应报价高于谈判最高限价的；</w:t>
      </w:r>
    </w:p>
    <w:p>
      <w:pPr>
        <w:spacing w:line="360" w:lineRule="auto"/>
        <w:ind w:firstLine="420" w:firstLineChars="200"/>
        <w:rPr>
          <w:rFonts w:ascii="宋体" w:hAnsi="宋体"/>
          <w:szCs w:val="21"/>
        </w:rPr>
      </w:pPr>
      <w:r>
        <w:rPr>
          <w:rFonts w:hint="eastAsia" w:ascii="宋体" w:hAnsi="宋体"/>
          <w:szCs w:val="21"/>
        </w:rPr>
        <w:t>22.2.4 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22.2.5 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rPr>
      </w:pPr>
      <w:r>
        <w:rPr>
          <w:rFonts w:hint="eastAsia" w:ascii="宋体" w:hAnsi="宋体"/>
          <w:szCs w:val="21"/>
        </w:rPr>
        <w:t>(4)法律、法规约定及谈判文件约定的其他情形。</w:t>
      </w:r>
    </w:p>
    <w:p>
      <w:pPr>
        <w:widowControl/>
        <w:spacing w:line="500" w:lineRule="exact"/>
        <w:ind w:firstLine="420"/>
        <w:jc w:val="left"/>
        <w:rPr>
          <w:rFonts w:ascii="宋体" w:hAnsi="宋体"/>
          <w:szCs w:val="21"/>
        </w:rPr>
      </w:pPr>
      <w:r>
        <w:rPr>
          <w:rFonts w:ascii="宋体" w:hAnsi="宋体"/>
          <w:szCs w:val="21"/>
        </w:rPr>
        <w:t>22.3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5"/>
        <w:ind w:firstLine="472" w:firstLineChars="196"/>
      </w:pPr>
      <w:bookmarkStart w:id="27" w:name="_Toc6847639"/>
      <w:r>
        <w:rPr>
          <w:rFonts w:hint="eastAsia"/>
        </w:rPr>
        <w:t>六、谈判</w:t>
      </w:r>
      <w:bookmarkEnd w:id="27"/>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2"/>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（1）谈判响应人提供的营业执照、税务登记证扫描件合法有效（已办理“三证合一”登记的，只需提供营业执照扫描件）；；</w:t>
      </w:r>
    </w:p>
    <w:p>
      <w:pPr>
        <w:spacing w:line="360" w:lineRule="auto"/>
        <w:ind w:firstLine="420" w:firstLineChars="200"/>
        <w:rPr>
          <w:rFonts w:ascii="宋体" w:hAnsi="宋体"/>
          <w:szCs w:val="21"/>
        </w:rPr>
      </w:pPr>
      <w:r>
        <w:rPr>
          <w:rFonts w:hint="eastAsia" w:ascii="宋体" w:hAnsi="宋体"/>
          <w:szCs w:val="21"/>
        </w:rPr>
        <w:t>（2）供应商声明函符合规定格式；</w:t>
      </w:r>
    </w:p>
    <w:p>
      <w:pPr>
        <w:spacing w:line="360" w:lineRule="auto"/>
        <w:ind w:firstLine="420" w:firstLineChars="200"/>
        <w:rPr>
          <w:rFonts w:ascii="宋体" w:hAnsi="宋体"/>
          <w:szCs w:val="21"/>
        </w:rPr>
      </w:pPr>
      <w:r>
        <w:rPr>
          <w:rFonts w:hint="eastAsia" w:ascii="宋体" w:hAnsi="宋体"/>
          <w:szCs w:val="21"/>
        </w:rPr>
        <w:t>（3）谈判响应文件是否按谈判文件的要求进行编制、签署和标记；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（4）谈判文件要求提交的的各种证明材料是否真实、完整、合法、有效；</w:t>
      </w:r>
    </w:p>
    <w:p>
      <w:pPr>
        <w:spacing w:line="360" w:lineRule="auto"/>
        <w:ind w:firstLine="420" w:firstLineChars="200"/>
        <w:rPr>
          <w:rFonts w:ascii="宋体" w:hAnsi="宋体"/>
          <w:szCs w:val="21"/>
        </w:rPr>
      </w:pPr>
      <w:r>
        <w:rPr>
          <w:rFonts w:hint="eastAsia" w:ascii="宋体" w:hAnsi="宋体"/>
          <w:szCs w:val="21"/>
        </w:rPr>
        <w:t>（5）所提供的服务是否有缺少，服务期是否符合谈判文件要求；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（6）采购技术方案是否完整、可行且完全响应或优于谈判文件要求；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（8）谈判响应文件对法律、法规和谈判文件其他明确要求的符合性；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（9）联合体响应没有提交联合体谈判协议书；</w:t>
      </w:r>
    </w:p>
    <w:p>
      <w:pPr>
        <w:spacing w:line="360" w:lineRule="auto"/>
        <w:ind w:firstLine="420" w:firstLineChars="200"/>
        <w:rPr>
          <w:rFonts w:ascii="宋体" w:hAnsi="宋体"/>
          <w:szCs w:val="21"/>
        </w:rPr>
      </w:pPr>
      <w:r>
        <w:rPr>
          <w:rFonts w:hint="eastAsia" w:ascii="宋体" w:hAnsi="宋体"/>
          <w:szCs w:val="21"/>
        </w:rPr>
        <w:t>（10）谈判响应文件是否附有采购人不能接受的条件。</w:t>
      </w:r>
    </w:p>
    <w:p>
      <w:pPr>
        <w:widowControl/>
        <w:spacing w:line="500" w:lineRule="exact"/>
        <w:ind w:firstLine="405"/>
        <w:jc w:val="left"/>
        <w:rPr>
          <w:rFonts w:hint="eastAsia" w:ascii="宋体" w:hAnsi="宋体"/>
          <w:szCs w:val="21"/>
        </w:rPr>
      </w:pPr>
      <w:r>
        <w:rPr>
          <w:rFonts w:hint="eastAsia" w:ascii="宋体" w:hAnsi="宋体"/>
          <w:szCs w:val="21"/>
        </w:rPr>
        <w:t>（11）谈判响应文件是否存在谈判文件中约定的无效谈判响应文件的其他情形。</w:t>
      </w:r>
    </w:p>
    <w:p>
      <w:pPr>
        <w:widowControl/>
        <w:spacing w:line="500" w:lineRule="exact"/>
        <w:ind w:firstLine="405"/>
        <w:jc w:val="left"/>
        <w:rPr>
          <w:rFonts w:hint="eastAsia" w:ascii="宋体" w:hAnsi="宋体"/>
          <w:szCs w:val="21"/>
        </w:rPr>
      </w:pPr>
      <w:r>
        <w:rPr>
          <w:rFonts w:hint="eastAsia" w:ascii="宋体" w:hAnsi="宋体"/>
          <w:szCs w:val="21"/>
        </w:rPr>
        <w:t>（12）谈判响应文件是否符合谈判文件的要求。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cs="宋体"/>
          <w:b/>
          <w:color w:val="000000"/>
          <w:szCs w:val="21"/>
          <w:highlight w:val="yellow"/>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谈判小组查询被推荐为成交候选人的谈判响应人信用记录，谈判响应人存在不良信用记录的，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Fonts w:hint="eastAsia" w:ascii="宋体"/>
          <w:color w:val="000000" w:themeColor="text1"/>
          <w:szCs w:val="21"/>
          <w14:textFill>
            <w14:solidFill>
              <w14:schemeClr w14:val="tx1"/>
            </w14:solidFill>
          </w14:textFill>
        </w:rPr>
        <w:t>谈判小组</w:t>
      </w:r>
      <w:r>
        <w:rPr>
          <w:rStyle w:val="28"/>
          <w:rFonts w:hint="eastAsia" w:ascii="宋体"/>
          <w:color w:val="000000" w:themeColor="text1"/>
          <w:szCs w:val="21"/>
          <w:u w:val="none"/>
          <w14:textFill>
            <w14:solidFill>
              <w14:schemeClr w14:val="tx1"/>
            </w14:solidFill>
          </w14:textFill>
        </w:rPr>
        <w:t>不得将其推荐为成交候选人。</w:t>
      </w:r>
      <w:r>
        <w:rPr>
          <w:rStyle w:val="28"/>
          <w:rFonts w:hint="eastAsia" w:ascii="宋体"/>
          <w:color w:val="000000" w:themeColor="text1"/>
          <w:szCs w:val="21"/>
          <w:u w:val="none"/>
          <w14:textFill>
            <w14:solidFill>
              <w14:schemeClr w14:val="tx1"/>
            </w14:solidFill>
          </w14:textFill>
        </w:rPr>
        <w:fldChar w:fldCharType="end"/>
      </w:r>
    </w:p>
    <w:p>
      <w:pPr>
        <w:spacing w:line="360" w:lineRule="auto"/>
        <w:ind w:firstLine="420" w:firstLineChars="200"/>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25.8.1</w:t>
      </w:r>
      <w:r>
        <w:rPr>
          <w:rFonts w:hint="eastAsia" w:ascii="宋体"/>
          <w:color w:val="000000" w:themeColor="text1"/>
          <w:szCs w:val="21"/>
          <w14:textFill>
            <w14:solidFill>
              <w14:schemeClr w14:val="tx1"/>
            </w14:solidFill>
          </w14:textFill>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w:t>
      </w:r>
      <w:r>
        <w:rPr>
          <w:rFonts w:ascii="宋体"/>
          <w:color w:val="000000" w:themeColor="text1"/>
          <w:szCs w:val="21"/>
          <w14:textFill>
            <w14:solidFill>
              <w14:schemeClr w14:val="tx1"/>
            </w14:solidFill>
          </w14:textFill>
        </w:rPr>
        <w:t>5.8.2</w:t>
      </w:r>
      <w:r>
        <w:rPr>
          <w:rFonts w:hint="eastAsia" w:ascii="宋体"/>
          <w:color w:val="000000" w:themeColor="text1"/>
          <w:szCs w:val="21"/>
          <w14:textFill>
            <w14:solidFill>
              <w14:schemeClr w14:val="tx1"/>
            </w14:solidFill>
          </w14:textFill>
        </w:rPr>
        <w:t>信用信息查询渠道：中国政府采购网（www.ccgp.gov.cn）、“信用中国”网站（</w:t>
      </w:r>
      <w:r>
        <w:fldChar w:fldCharType="begin"/>
      </w:r>
      <w:r>
        <w:instrText xml:space="preserve"> HYPERLINK "http://www.creditchina.gov.cn" </w:instrText>
      </w:r>
      <w:r>
        <w:fldChar w:fldCharType="separate"/>
      </w:r>
      <w:r>
        <w:rPr>
          <w:rStyle w:val="28"/>
          <w:rFonts w:hint="eastAsia" w:ascii="宋体"/>
          <w:color w:val="000000" w:themeColor="text1"/>
          <w:szCs w:val="21"/>
          <w:u w:val="none"/>
          <w14:textFill>
            <w14:solidFill>
              <w14:schemeClr w14:val="tx1"/>
            </w14:solidFill>
          </w14:textFill>
        </w:rPr>
        <w:t>www.creditchina.gov.cn</w:t>
      </w:r>
      <w:r>
        <w:rPr>
          <w:rStyle w:val="28"/>
          <w:rFonts w:hint="eastAsia" w:ascii="宋体"/>
          <w:color w:val="000000" w:themeColor="text1"/>
          <w:szCs w:val="21"/>
          <w:u w:val="none"/>
          <w14:textFill>
            <w14:solidFill>
              <w14:schemeClr w14:val="tx1"/>
            </w14:solidFill>
          </w14:textFill>
        </w:rPr>
        <w:fldChar w:fldCharType="end"/>
      </w:r>
      <w:r>
        <w:rPr>
          <w:rFonts w:hint="eastAsia" w:ascii="宋体"/>
          <w:color w:val="000000" w:themeColor="text1"/>
          <w:szCs w:val="21"/>
          <w14:textFill>
            <w14:solidFill>
              <w14:schemeClr w14:val="tx1"/>
            </w14:solidFill>
          </w14:textFill>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8" w:name="_Toc32188"/>
      <w:bookmarkStart w:id="29" w:name="_Toc18182"/>
      <w:bookmarkStart w:id="30" w:name="_Toc5798"/>
      <w:r>
        <w:rPr>
          <w:rFonts w:ascii="宋体" w:hAnsi="宋体"/>
          <w:szCs w:val="21"/>
        </w:rPr>
        <w:t>2</w:t>
      </w:r>
      <w:r>
        <w:rPr>
          <w:rFonts w:hint="eastAsia" w:ascii="宋体" w:hAnsi="宋体"/>
          <w:szCs w:val="21"/>
        </w:rPr>
        <w:t>7</w:t>
      </w:r>
      <w:r>
        <w:rPr>
          <w:rFonts w:ascii="宋体" w:hAnsi="宋体"/>
          <w:szCs w:val="21"/>
        </w:rPr>
        <w:t>.4、</w:t>
      </w:r>
      <w:bookmarkEnd w:id="28"/>
      <w:bookmarkEnd w:id="29"/>
      <w:bookmarkEnd w:id="30"/>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rPr>
        <w:t>服务</w:t>
      </w:r>
      <w:r>
        <w:rPr>
          <w:rFonts w:hint="eastAsia" w:ascii="宋体" w:hAnsi="宋体"/>
          <w:szCs w:val="21"/>
        </w:rPr>
        <w:t>招标标准的80%收取。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Ansi="宋体"/>
        </w:rPr>
      </w:pPr>
      <w:bookmarkStart w:id="31" w:name="_Toc28927"/>
      <w:bookmarkStart w:id="32" w:name="_Toc27205"/>
      <w:bookmarkStart w:id="33" w:name="_Toc30444"/>
      <w:r>
        <w:rPr>
          <w:rFonts w:hint="eastAsia" w:ascii="宋体" w:hAnsi="宋体" w:cs="宋体"/>
          <w:szCs w:val="21"/>
        </w:rPr>
        <w:t>注：按上述收费标准计算不足1500元的，按1500元计费。</w:t>
      </w: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1"/>
      <w:bookmarkEnd w:id="32"/>
      <w:bookmarkEnd w:id="33"/>
      <w:bookmarkStart w:id="34" w:name="_Toc417655920"/>
    </w:p>
    <w:p>
      <w:pPr>
        <w:pStyle w:val="12"/>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hAnsi="宋体" w:cs="宋体"/>
          <w:szCs w:val="21"/>
        </w:rPr>
        <w:t>同时在安庆职业技术学院（https://www.aqvtc.edu.cn/）公告成交结果</w:t>
      </w:r>
      <w:r>
        <w:rPr>
          <w:rFonts w:hint="eastAsia" w:hAnsi="宋体"/>
          <w:szCs w:val="21"/>
        </w:rPr>
        <w:t>。</w:t>
      </w:r>
    </w:p>
    <w:p>
      <w:pPr>
        <w:pStyle w:val="12"/>
        <w:spacing w:line="400" w:lineRule="exact"/>
        <w:ind w:firstLine="420" w:firstLineChars="200"/>
        <w:rPr>
          <w:rFonts w:ascii="Times New Roman" w:hAnsi="宋体"/>
          <w:bCs/>
        </w:rPr>
      </w:pPr>
      <w:r>
        <w:rPr>
          <w:rFonts w:hint="eastAsia" w:hAnsi="宋体"/>
          <w:szCs w:val="21"/>
        </w:rPr>
        <w:t>27.6、</w:t>
      </w:r>
      <w:bookmarkEnd w:id="34"/>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bookmarkEnd w:id="25"/>
    <w:p>
      <w:pPr>
        <w:pStyle w:val="5"/>
        <w:rPr>
          <w:rFonts w:hAnsi="Courier New" w:cs="Tahoma"/>
          <w:b w:val="0"/>
          <w:kern w:val="2"/>
          <w:sz w:val="21"/>
        </w:rPr>
      </w:pPr>
      <w:bookmarkStart w:id="35" w:name="_Toc8931"/>
      <w:bookmarkStart w:id="36" w:name="_Toc388283740"/>
      <w:r>
        <w:rPr>
          <w:rFonts w:hint="eastAsia" w:hAnsi="宋体"/>
          <w:kern w:val="2"/>
          <w:szCs w:val="24"/>
        </w:rPr>
        <w:t xml:space="preserve">   </w:t>
      </w:r>
      <w:bookmarkStart w:id="37" w:name="_Toc6847640"/>
      <w:r>
        <w:rPr>
          <w:rFonts w:hint="eastAsia" w:hAnsi="宋体"/>
          <w:kern w:val="2"/>
          <w:szCs w:val="24"/>
        </w:rPr>
        <w:t>七、合同授予</w:t>
      </w:r>
      <w:bookmarkEnd w:id="35"/>
      <w:bookmarkEnd w:id="36"/>
      <w:bookmarkEnd w:id="37"/>
      <w:bookmarkStart w:id="38" w:name="_Toc2221"/>
      <w:bookmarkStart w:id="39" w:name="_Toc417656020"/>
      <w:bookmarkStart w:id="40" w:name="_Toc413999568"/>
    </w:p>
    <w:bookmarkEnd w:id="38"/>
    <w:bookmarkEnd w:id="39"/>
    <w:bookmarkEnd w:id="40"/>
    <w:p>
      <w:pPr>
        <w:spacing w:line="360" w:lineRule="auto"/>
        <w:ind w:firstLine="420" w:firstLineChars="200"/>
        <w:rPr>
          <w:rFonts w:ascii="宋体" w:hAnsi="宋体"/>
          <w:szCs w:val="21"/>
        </w:rPr>
      </w:pPr>
      <w:r>
        <w:rPr>
          <w:rFonts w:hint="eastAsia" w:ascii="宋体" w:hAnsi="宋体"/>
          <w:szCs w:val="21"/>
        </w:rPr>
        <w:t>28、</w:t>
      </w:r>
      <w:bookmarkStart w:id="41" w:name="_Toc417655994"/>
      <w:bookmarkStart w:id="42" w:name="_Toc12884"/>
      <w:bookmarkStart w:id="43" w:name="_Toc401841853"/>
      <w:bookmarkStart w:id="44" w:name="_Toc401841614"/>
      <w:r>
        <w:rPr>
          <w:rFonts w:hint="eastAsia" w:ascii="宋体" w:hAnsi="宋体"/>
          <w:szCs w:val="21"/>
        </w:rPr>
        <w:t>签订合同</w:t>
      </w:r>
      <w:bookmarkEnd w:id="41"/>
      <w:bookmarkEnd w:id="42"/>
      <w:bookmarkEnd w:id="43"/>
      <w:bookmarkEnd w:id="44"/>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w:t>
      </w:r>
      <w:r>
        <w:rPr>
          <w:rFonts w:hint="eastAsia" w:ascii="宋体" w:hAnsi="宋体"/>
          <w:szCs w:val="21"/>
          <w:lang w:val="en-US" w:eastAsia="zh-CN"/>
        </w:rPr>
        <w:t>7</w:t>
      </w:r>
      <w:r>
        <w:rPr>
          <w:rFonts w:hint="eastAsia" w:ascii="宋体" w:hAnsi="宋体"/>
          <w:szCs w:val="21"/>
        </w:rPr>
        <w:t>个工作日内，与采购人签订合同。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w:t>
      </w:r>
      <w:r>
        <w:rPr>
          <w:rFonts w:hint="eastAsia" w:hAnsi="宋体"/>
        </w:rPr>
        <w:t>。</w:t>
      </w:r>
      <w:r>
        <w:rPr>
          <w:rFonts w:hAnsi="宋体"/>
        </w:rPr>
        <w:t>给</w:t>
      </w:r>
      <w:r>
        <w:rPr>
          <w:rFonts w:hint="eastAsia" w:hAnsi="宋体"/>
        </w:rPr>
        <w:t>采购单位</w:t>
      </w:r>
      <w:r>
        <w:rPr>
          <w:rFonts w:hAnsi="宋体"/>
        </w:rPr>
        <w:t>造成的损失，</w:t>
      </w:r>
      <w:r>
        <w:rPr>
          <w:rFonts w:hint="eastAsia" w:hAnsi="宋体"/>
        </w:rPr>
        <w:t>成交人</w:t>
      </w:r>
      <w:r>
        <w:rPr>
          <w:rFonts w:hAnsi="宋体"/>
        </w:rPr>
        <w:t>还应当予以赔偿。</w:t>
      </w:r>
    </w:p>
    <w:p>
      <w:pPr>
        <w:pStyle w:val="12"/>
        <w:spacing w:line="440" w:lineRule="exact"/>
        <w:ind w:firstLine="420" w:firstLineChars="200"/>
        <w:rPr>
          <w:rFonts w:hAnsi="宋体"/>
          <w:szCs w:val="21"/>
        </w:rPr>
      </w:pPr>
      <w:r>
        <w:rPr>
          <w:rFonts w:hint="eastAsia" w:hAnsi="宋体"/>
          <w:szCs w:val="21"/>
        </w:rPr>
        <w:t>29.3、履约保证金按合同条款约定退还。</w:t>
      </w:r>
    </w:p>
    <w:p>
      <w:pPr>
        <w:pStyle w:val="12"/>
        <w:spacing w:line="440" w:lineRule="exact"/>
        <w:ind w:firstLine="422" w:firstLineChars="200"/>
        <w:rPr>
          <w:rFonts w:hAnsi="宋体"/>
          <w:b/>
          <w:szCs w:val="21"/>
        </w:rPr>
      </w:pPr>
      <w:r>
        <w:rPr>
          <w:rFonts w:hint="eastAsia" w:hAnsi="宋体"/>
          <w:b/>
          <w:szCs w:val="21"/>
        </w:rPr>
        <w:t>30、未尽事宜</w:t>
      </w:r>
    </w:p>
    <w:p>
      <w:pPr>
        <w:pStyle w:val="12"/>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r>
        <w:rPr>
          <w:rFonts w:hAnsi="宋体"/>
          <w:szCs w:val="21"/>
        </w:rPr>
        <w:br w:type="page"/>
      </w:r>
    </w:p>
    <w:p>
      <w:pPr>
        <w:pStyle w:val="3"/>
        <w:numPr>
          <w:ilvl w:val="0"/>
          <w:numId w:val="4"/>
        </w:numPr>
      </w:pPr>
      <w:bookmarkStart w:id="45" w:name="_Toc6847641"/>
      <w:bookmarkStart w:id="46" w:name="_Toc18076"/>
      <w:r>
        <w:rPr>
          <w:rFonts w:hint="eastAsia"/>
        </w:rPr>
        <w:t>服务需求及技术要求</w:t>
      </w:r>
      <w:bookmarkEnd w:id="45"/>
      <w:bookmarkEnd w:id="46"/>
      <w:bookmarkStart w:id="47" w:name="_Toc4579"/>
      <w:bookmarkStart w:id="48" w:name="_Toc398819318"/>
      <w:bookmarkStart w:id="49" w:name="_Toc399143413"/>
    </w:p>
    <w:p>
      <w:pPr>
        <w:widowControl/>
        <w:numPr>
          <w:ilvl w:val="0"/>
          <w:numId w:val="5"/>
        </w:numPr>
        <w:spacing w:line="440" w:lineRule="exact"/>
        <w:jc w:val="left"/>
        <w:rPr>
          <w:szCs w:val="21"/>
        </w:rPr>
      </w:pPr>
      <w:r>
        <w:rPr>
          <w:rFonts w:hint="eastAsia" w:ascii="宋体" w:hAnsi="宋体" w:cs="宋体"/>
          <w:b/>
          <w:color w:val="000000"/>
          <w:kern w:val="0"/>
          <w:szCs w:val="21"/>
          <w:lang w:bidi="ar"/>
        </w:rPr>
        <w:t xml:space="preserve">采购内容： </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 xml:space="preserve">（一）数据库专辑订购内容 </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期刊（</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J） </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博士（</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J） </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硕士（</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J） </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会议（</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J）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报纸（</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J） </w:t>
      </w:r>
    </w:p>
    <w:p>
      <w:pPr>
        <w:keepNext w:val="0"/>
        <w:keepLines w:val="0"/>
        <w:widowControl/>
        <w:suppressLineNumbers w:val="0"/>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年鉴</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J）</w:t>
      </w:r>
    </w:p>
    <w:p>
      <w:pPr>
        <w:keepNext w:val="0"/>
        <w:keepLines w:val="0"/>
        <w:widowControl/>
        <w:suppressLineNumbers w:val="0"/>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工具书</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C,</w:t>
      </w:r>
      <w:r>
        <w:rPr>
          <w:rFonts w:hint="eastAsia" w:ascii="宋体" w:hAnsi="宋体" w:cs="宋体"/>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G,</w:t>
      </w:r>
      <w:r>
        <w:rPr>
          <w:rFonts w:hint="eastAsia" w:ascii="宋体" w:hAnsi="宋体" w:eastAsia="宋体" w:cs="宋体"/>
          <w:color w:val="000000"/>
          <w:kern w:val="0"/>
          <w:sz w:val="24"/>
          <w:szCs w:val="24"/>
          <w:lang w:val="en-US" w:eastAsia="zh-CN" w:bidi="ar"/>
        </w:rPr>
        <w:t>H,I</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J）</w:t>
      </w:r>
    </w:p>
    <w:p>
      <w:pPr>
        <w:keepNext w:val="0"/>
        <w:keepLines w:val="0"/>
        <w:widowControl/>
        <w:suppressLineNumbers w:val="0"/>
        <w:spacing w:line="360" w:lineRule="auto"/>
        <w:jc w:val="left"/>
        <w:rPr>
          <w:rFonts w:hint="eastAsia" w:ascii="宋体" w:hAnsi="宋体" w:cs="宋体"/>
          <w:sz w:val="24"/>
          <w:szCs w:val="24"/>
          <w:lang w:eastAsia="zh-CN"/>
        </w:rPr>
      </w:pPr>
      <w:r>
        <w:rPr>
          <w:rFonts w:hint="eastAsia" w:ascii="宋体" w:hAnsi="宋体" w:cs="宋体"/>
          <w:color w:val="000000"/>
          <w:kern w:val="0"/>
          <w:sz w:val="24"/>
          <w:szCs w:val="24"/>
          <w:lang w:val="en-US" w:eastAsia="zh-CN" w:bidi="ar"/>
        </w:rPr>
        <w:t>高等教育期刊库（</w:t>
      </w:r>
      <w:r>
        <w:rPr>
          <w:rFonts w:ascii="宋体" w:hAnsi="宋体" w:eastAsia="宋体" w:cs="宋体"/>
          <w:sz w:val="24"/>
          <w:szCs w:val="24"/>
        </w:rPr>
        <w:t>R01,R02,R03,R04,R05,R06,R07,R08</w:t>
      </w:r>
      <w:r>
        <w:rPr>
          <w:rFonts w:hint="eastAsia" w:ascii="宋体" w:hAnsi="宋体" w:cs="宋体"/>
          <w:sz w:val="24"/>
          <w:szCs w:val="24"/>
          <w:lang w:eastAsia="zh-CN"/>
        </w:rPr>
        <w:t>）</w:t>
      </w:r>
    </w:p>
    <w:p>
      <w:pPr>
        <w:snapToGrid w:val="0"/>
        <w:spacing w:before="156" w:beforeLines="50" w:line="360" w:lineRule="auto"/>
        <w:ind w:firstLine="480" w:firstLineChars="200"/>
        <w:rPr>
          <w:rFonts w:ascii="宋体" w:hAnsi="宋体" w:cs="Times New Roman"/>
          <w:sz w:val="24"/>
          <w:szCs w:val="22"/>
        </w:rPr>
      </w:pPr>
      <w:r>
        <w:rPr>
          <w:rFonts w:hint="eastAsia" w:ascii="宋体" w:hAnsi="宋体" w:cs="Times New Roman"/>
          <w:sz w:val="24"/>
          <w:szCs w:val="22"/>
        </w:rPr>
        <w:t>使用方式：</w:t>
      </w:r>
      <w:r>
        <w:rPr>
          <w:rFonts w:hint="eastAsia" w:ascii="宋体" w:hAnsi="宋体" w:cs="Times New Roman"/>
          <w:sz w:val="24"/>
          <w:szCs w:val="22"/>
          <w:lang w:val="en-US" w:eastAsia="zh-CN"/>
        </w:rPr>
        <w:t>托管模式</w:t>
      </w:r>
      <w:r>
        <w:rPr>
          <w:rFonts w:hint="eastAsia" w:ascii="宋体" w:hAnsi="宋体" w:cs="Times New Roman"/>
          <w:sz w:val="24"/>
          <w:szCs w:val="22"/>
        </w:rPr>
        <w:t>。</w:t>
      </w:r>
    </w:p>
    <w:p>
      <w:pPr>
        <w:snapToGrid w:val="0"/>
        <w:spacing w:line="360" w:lineRule="auto"/>
        <w:ind w:firstLine="480" w:firstLineChars="200"/>
        <w:rPr>
          <w:rFonts w:ascii="宋体" w:hAnsi="宋体" w:cs="Times New Roman"/>
          <w:sz w:val="24"/>
          <w:szCs w:val="22"/>
        </w:rPr>
      </w:pPr>
      <w:r>
        <w:rPr>
          <w:rFonts w:hint="eastAsia" w:ascii="宋体" w:hAnsi="宋体" w:cs="Times New Roman"/>
          <w:sz w:val="24"/>
          <w:szCs w:val="22"/>
        </w:rPr>
        <w:t>另：（1）服务期内提供不低于两次到校培训；</w:t>
      </w:r>
    </w:p>
    <w:p>
      <w:pPr>
        <w:snapToGrid w:val="0"/>
        <w:spacing w:line="360" w:lineRule="auto"/>
        <w:ind w:firstLine="840" w:firstLineChars="350"/>
        <w:rPr>
          <w:rFonts w:hint="eastAsia" w:ascii="Times New Roman" w:hAnsi="Times New Roman" w:cs="Times New Roman"/>
          <w:szCs w:val="22"/>
          <w:lang w:val="en-US" w:eastAsia="zh-CN"/>
        </w:rPr>
      </w:pPr>
      <w:r>
        <w:rPr>
          <w:rFonts w:hint="eastAsia" w:ascii="宋体" w:hAnsi="宋体" w:cs="Times New Roman"/>
          <w:sz w:val="24"/>
          <w:szCs w:val="22"/>
        </w:rPr>
        <w:t>（2）赠送漫游账号50个，个人馆100个；</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（二）采购内容参数要求</w:t>
      </w:r>
    </w:p>
    <w:p>
      <w:pPr>
        <w:keepNext w:val="0"/>
        <w:keepLines w:val="0"/>
        <w:widowControl/>
        <w:numPr>
          <w:ilvl w:val="0"/>
          <w:numId w:val="6"/>
        </w:numPr>
        <w:suppressLineNumbers w:val="0"/>
        <w:spacing w:line="360" w:lineRule="auto"/>
        <w:ind w:left="425" w:leftChars="0" w:hanging="425" w:firstLineChars="0"/>
        <w:jc w:val="left"/>
        <w:rPr>
          <w:rFonts w:ascii="Times New Roman" w:hAnsi="Times New Roman" w:cs="Times New Roman"/>
          <w:sz w:val="24"/>
          <w:szCs w:val="24"/>
        </w:rPr>
      </w:pPr>
      <w:r>
        <w:rPr>
          <w:rFonts w:hint="eastAsia" w:ascii="宋体" w:hAnsi="宋体" w:eastAsia="宋体" w:cs="宋体"/>
          <w:b/>
          <w:bCs/>
          <w:color w:val="000000"/>
          <w:kern w:val="0"/>
          <w:sz w:val="24"/>
          <w:szCs w:val="24"/>
          <w:lang w:val="en-US" w:eastAsia="zh-CN" w:bidi="ar"/>
        </w:rPr>
        <w:t>期刊要求</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7"/>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期刊文献收录期数完整率不低于9</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7"/>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具备知识联想即文献扩展链接功能，可以从一篇文章的全文直接进入这篇文章的参考文献、被引用文献、相似文献等，智能化的学习了解某个知识或学科的来龙去脉。并且可以链接到博硕论文、会议论文、报纸等其他数据库。</w:t>
      </w:r>
    </w:p>
    <w:p>
      <w:pPr>
        <w:keepNext w:val="0"/>
        <w:keepLines w:val="0"/>
        <w:widowControl/>
        <w:numPr>
          <w:ilvl w:val="0"/>
          <w:numId w:val="7"/>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要求网络数据实现每日更新。学术文献网络出版总库网络出版平均不迟于纸质期刊出版之后2个月。</w:t>
      </w:r>
    </w:p>
    <w:p>
      <w:pPr>
        <w:keepNext w:val="0"/>
        <w:keepLines w:val="0"/>
        <w:widowControl/>
        <w:numPr>
          <w:ilvl w:val="0"/>
          <w:numId w:val="7"/>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 xml:space="preserve">要求支持通过分组排序检索结果进行进一步筛选，可按照科技、社科、主题（主要主题、次要主题）、发表年度、研究层次、期刊、来源类别、学科、基金、作者、机构等条件进行分组聚类，并且对于检索结果还能够按照相关度、发表时间、被引频次、下载频次进行排序 </w:t>
      </w:r>
    </w:p>
    <w:p>
      <w:pPr>
        <w:keepNext w:val="0"/>
        <w:keepLines w:val="0"/>
        <w:widowControl/>
        <w:numPr>
          <w:ilvl w:val="0"/>
          <w:numId w:val="7"/>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累计收录不低于</w:t>
      </w: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00余种期刊，文献总量不低于</w:t>
      </w:r>
      <w:r>
        <w:rPr>
          <w:rFonts w:hint="eastAsia" w:ascii="宋体" w:hAnsi="宋体" w:cs="宋体"/>
          <w:color w:val="000000"/>
          <w:kern w:val="0"/>
          <w:sz w:val="24"/>
          <w:szCs w:val="24"/>
          <w:lang w:val="en-US" w:eastAsia="zh-CN" w:bidi="ar"/>
        </w:rPr>
        <w:t>50</w:t>
      </w:r>
      <w:r>
        <w:rPr>
          <w:rFonts w:hint="eastAsia" w:ascii="宋体" w:hAnsi="宋体" w:eastAsia="宋体" w:cs="宋体"/>
          <w:color w:val="000000"/>
          <w:kern w:val="0"/>
          <w:sz w:val="24"/>
          <w:szCs w:val="24"/>
          <w:lang w:val="en-US" w:eastAsia="zh-CN" w:bidi="ar"/>
        </w:rPr>
        <w:t xml:space="preserve">00万余篇。  </w:t>
      </w:r>
    </w:p>
    <w:p>
      <w:pPr>
        <w:keepNext w:val="0"/>
        <w:keepLines w:val="0"/>
        <w:widowControl/>
        <w:numPr>
          <w:ilvl w:val="0"/>
          <w:numId w:val="6"/>
        </w:numPr>
        <w:suppressLineNumbers w:val="0"/>
        <w:spacing w:line="360" w:lineRule="auto"/>
        <w:ind w:left="425" w:leftChars="0" w:hanging="425" w:firstLineChars="0"/>
        <w:jc w:val="left"/>
        <w:rPr>
          <w:rFonts w:ascii="Times New Roman" w:hAnsi="Times New Roman" w:cs="Times New Roman"/>
          <w:sz w:val="24"/>
          <w:szCs w:val="24"/>
        </w:rPr>
      </w:pPr>
      <w:r>
        <w:rPr>
          <w:rFonts w:hint="eastAsia" w:ascii="宋体" w:hAnsi="宋体" w:eastAsia="宋体" w:cs="宋体"/>
          <w:b/>
          <w:bCs/>
          <w:color w:val="000000"/>
          <w:kern w:val="0"/>
          <w:sz w:val="24"/>
          <w:szCs w:val="24"/>
          <w:lang w:val="en-US" w:eastAsia="zh-CN" w:bidi="ar"/>
        </w:rPr>
        <w:t>博士论文库要求</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8"/>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cs="Times New Roman"/>
          <w:sz w:val="24"/>
          <w:szCs w:val="24"/>
          <w:lang w:val="zh-CN" w:eastAsia="zh-CN"/>
        </w:rPr>
        <w:t>大多数论文出版不晚于授予学位之后2个</w:t>
      </w:r>
      <w:r>
        <w:rPr>
          <w:rFonts w:hint="eastAsia" w:ascii="宋体" w:hAnsi="宋体" w:cs="Times New Roman"/>
          <w:sz w:val="24"/>
          <w:szCs w:val="24"/>
          <w:lang w:val="zh-CN"/>
        </w:rPr>
        <w:t>月</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8"/>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收录不低于</w:t>
      </w:r>
      <w:r>
        <w:rPr>
          <w:rFonts w:hint="eastAsia" w:ascii="宋体" w:hAnsi="宋体" w:cs="宋体"/>
          <w:color w:val="000000"/>
          <w:kern w:val="0"/>
          <w:sz w:val="24"/>
          <w:szCs w:val="24"/>
          <w:lang w:val="en-US" w:eastAsia="zh-CN" w:bidi="ar"/>
        </w:rPr>
        <w:t>470</w:t>
      </w:r>
      <w:r>
        <w:rPr>
          <w:rFonts w:hint="eastAsia" w:ascii="宋体" w:hAnsi="宋体" w:eastAsia="宋体" w:cs="宋体"/>
          <w:color w:val="000000"/>
          <w:kern w:val="0"/>
          <w:sz w:val="24"/>
          <w:szCs w:val="24"/>
          <w:lang w:val="en-US" w:eastAsia="zh-CN" w:bidi="ar"/>
        </w:rPr>
        <w:t>家博士培养单位（涉及国家保密的单位除外）的博士学位论文，累计收录博士论文不低于</w:t>
      </w:r>
      <w:r>
        <w:rPr>
          <w:rFonts w:hint="eastAsia" w:ascii="宋体" w:hAnsi="宋体" w:cs="宋体"/>
          <w:color w:val="000000"/>
          <w:kern w:val="0"/>
          <w:sz w:val="24"/>
          <w:szCs w:val="24"/>
          <w:lang w:val="en-US" w:eastAsia="zh-CN" w:bidi="ar"/>
        </w:rPr>
        <w:t>38</w:t>
      </w:r>
      <w:r>
        <w:rPr>
          <w:rFonts w:hint="eastAsia" w:ascii="宋体" w:hAnsi="宋体" w:eastAsia="宋体" w:cs="宋体"/>
          <w:color w:val="000000"/>
          <w:kern w:val="0"/>
          <w:sz w:val="24"/>
          <w:szCs w:val="24"/>
          <w:lang w:val="en-US" w:eastAsia="zh-CN" w:bidi="ar"/>
        </w:rPr>
        <w:t xml:space="preserve">万余篇。 </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要求节点文献的二级参考文献、参考文献、共引文献、同被引文献、引证文献、二级引证文献、相似文献、关联作者、读者推荐、相关基金文献，可以链接到期刊、博硕等数据库使用。</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要求支持通过分组排序检索结果进行进一步筛选，可按照主题（主要主题、次要主题）、学科、学位授予年度、研究层次、学位授予单位、基金、导师、学科专业等条件进行分组聚类，并且对于检索结果还能够按照相关度、出版时间、被引频次、下载频次、学位授予年度等进行排序</w:t>
      </w:r>
      <w:r>
        <w:rPr>
          <w:rFonts w:hint="eastAsia" w:ascii="宋体" w:hAnsi="宋体" w:cs="宋体"/>
          <w:color w:val="000000"/>
          <w:kern w:val="0"/>
          <w:sz w:val="24"/>
          <w:szCs w:val="24"/>
          <w:lang w:val="en-US" w:eastAsia="zh-CN" w:bidi="ar"/>
        </w:rPr>
        <w:t>。</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博士论文</w:t>
      </w:r>
      <w:r>
        <w:rPr>
          <w:rFonts w:hint="eastAsia" w:ascii="宋体" w:hAnsi="宋体" w:cs="宋体"/>
          <w:color w:val="000000"/>
          <w:kern w:val="0"/>
          <w:sz w:val="24"/>
          <w:szCs w:val="24"/>
          <w:lang w:val="en-US" w:eastAsia="zh-CN" w:bidi="ar"/>
        </w:rPr>
        <w:t>库</w:t>
      </w:r>
      <w:r>
        <w:rPr>
          <w:rFonts w:hint="eastAsia" w:ascii="宋体" w:hAnsi="宋体" w:eastAsia="宋体" w:cs="宋体"/>
          <w:color w:val="000000"/>
          <w:kern w:val="0"/>
          <w:sz w:val="24"/>
          <w:szCs w:val="24"/>
          <w:lang w:val="en-US" w:eastAsia="zh-CN" w:bidi="ar"/>
        </w:rPr>
        <w:t>要求能够与其它数据库实现跨库检索，多个数据库可以实现一站式检索，动态链接。</w:t>
      </w:r>
    </w:p>
    <w:p>
      <w:pPr>
        <w:keepNext w:val="0"/>
        <w:keepLines w:val="0"/>
        <w:widowControl/>
        <w:suppressLineNumbers w:val="0"/>
        <w:spacing w:line="360" w:lineRule="auto"/>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6"/>
        </w:numPr>
        <w:suppressLineNumbers w:val="0"/>
        <w:spacing w:line="360" w:lineRule="auto"/>
        <w:ind w:left="425" w:leftChars="0" w:hanging="425" w:firstLineChars="0"/>
        <w:jc w:val="left"/>
        <w:rPr>
          <w:rFonts w:ascii="Times New Roman" w:hAnsi="Times New Roman" w:cs="Times New Roman"/>
          <w:sz w:val="24"/>
          <w:szCs w:val="24"/>
        </w:rPr>
      </w:pPr>
      <w:r>
        <w:rPr>
          <w:rFonts w:hint="eastAsia" w:ascii="宋体" w:hAnsi="宋体" w:eastAsia="宋体" w:cs="宋体"/>
          <w:b/>
          <w:bCs/>
          <w:color w:val="000000"/>
          <w:kern w:val="0"/>
          <w:sz w:val="24"/>
          <w:szCs w:val="24"/>
          <w:lang w:val="en-US" w:eastAsia="zh-CN" w:bidi="ar"/>
        </w:rPr>
        <w:t>硕士论文库要求</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9"/>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Times New Roman"/>
          <w:sz w:val="24"/>
          <w:szCs w:val="24"/>
          <w:lang w:val="en-US" w:eastAsia="zh-CN"/>
        </w:rPr>
        <w:t>要求大多数论文出版不晚于授予学位之后2个月</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9"/>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收录不低于</w:t>
      </w:r>
      <w:r>
        <w:rPr>
          <w:rFonts w:hint="eastAsia" w:ascii="宋体" w:hAnsi="宋体" w:cs="宋体"/>
          <w:color w:val="000000"/>
          <w:kern w:val="0"/>
          <w:sz w:val="24"/>
          <w:szCs w:val="24"/>
          <w:lang w:val="en-US" w:eastAsia="zh-CN" w:bidi="ar"/>
        </w:rPr>
        <w:t>700</w:t>
      </w:r>
      <w:r>
        <w:rPr>
          <w:rFonts w:hint="eastAsia" w:ascii="宋体" w:hAnsi="宋体" w:eastAsia="宋体" w:cs="宋体"/>
          <w:color w:val="000000"/>
          <w:kern w:val="0"/>
          <w:sz w:val="24"/>
          <w:szCs w:val="24"/>
          <w:lang w:val="en-US" w:eastAsia="zh-CN" w:bidi="ar"/>
        </w:rPr>
        <w:t>家硕士培养单位（涉及国家保密的单位除外）的硕士学位论文。累计收录硕士论文不低于</w:t>
      </w:r>
      <w:r>
        <w:rPr>
          <w:rFonts w:hint="eastAsia" w:ascii="宋体" w:hAnsi="宋体" w:cs="宋体"/>
          <w:color w:val="000000"/>
          <w:kern w:val="0"/>
          <w:sz w:val="24"/>
          <w:szCs w:val="24"/>
          <w:lang w:val="en-US" w:eastAsia="zh-CN" w:bidi="ar"/>
        </w:rPr>
        <w:t>380</w:t>
      </w:r>
      <w:r>
        <w:rPr>
          <w:rFonts w:hint="eastAsia" w:ascii="宋体" w:hAnsi="宋体" w:eastAsia="宋体" w:cs="宋体"/>
          <w:color w:val="000000"/>
          <w:kern w:val="0"/>
          <w:sz w:val="24"/>
          <w:szCs w:val="24"/>
          <w:lang w:val="en-US" w:eastAsia="zh-CN" w:bidi="ar"/>
        </w:rPr>
        <w:t xml:space="preserve">万余篇。 </w:t>
      </w:r>
    </w:p>
    <w:p>
      <w:pPr>
        <w:keepNext w:val="0"/>
        <w:keepLines w:val="0"/>
        <w:widowControl/>
        <w:numPr>
          <w:ilvl w:val="0"/>
          <w:numId w:val="9"/>
        </w:numPr>
        <w:suppressLineNumbers w:val="0"/>
        <w:spacing w:line="360" w:lineRule="auto"/>
        <w:ind w:left="0" w:leftChars="0" w:firstLine="0" w:firstLineChars="0"/>
        <w:jc w:val="left"/>
        <w:rPr>
          <w:rFonts w:hint="eastAsia" w:ascii="Times New Roman" w:hAnsi="Times New Roman" w:cs="Times New Roman"/>
          <w:szCs w:val="22"/>
          <w:lang w:val="zh-CN"/>
        </w:rPr>
      </w:pPr>
      <w:r>
        <w:rPr>
          <w:rFonts w:hint="eastAsia" w:ascii="宋体" w:hAnsi="宋体" w:eastAsia="宋体" w:cs="宋体"/>
          <w:color w:val="000000"/>
          <w:kern w:val="0"/>
          <w:sz w:val="24"/>
          <w:szCs w:val="24"/>
          <w:lang w:val="zh-CN" w:eastAsia="zh-CN" w:bidi="ar"/>
        </w:rPr>
        <w:t>要求节点文献的二级参考文献、参考文献、共引文献、同被引文献、引证文献、二级引证文献、相似文献、关联作者、读者推荐、相关基金文献，可以链接到期刊、博硕等数据库使用。</w:t>
      </w:r>
    </w:p>
    <w:p>
      <w:pPr>
        <w:keepNext w:val="0"/>
        <w:keepLines w:val="0"/>
        <w:widowControl/>
        <w:numPr>
          <w:ilvl w:val="0"/>
          <w:numId w:val="9"/>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eastAsia="宋体" w:cs="宋体"/>
          <w:color w:val="000000"/>
          <w:kern w:val="0"/>
          <w:sz w:val="24"/>
          <w:szCs w:val="24"/>
          <w:lang w:val="zh-CN" w:eastAsia="zh-CN" w:bidi="ar"/>
        </w:rPr>
        <w:t>要求支持通过分组排序检索结果进行进一步筛选，可按照主题（主要主题、次要主题）、学科、学位授予年度、研究层次、学位授予单位、基金、导师、学科专业等条件进行分组聚类，并且对于检索结果还能够按照相关度、出版时间、被引频次、下载频次、学位授予年度等进行排序</w:t>
      </w:r>
      <w:r>
        <w:rPr>
          <w:rFonts w:hint="eastAsia" w:ascii="宋体" w:hAnsi="宋体" w:cs="宋体"/>
          <w:color w:val="000000"/>
          <w:kern w:val="0"/>
          <w:sz w:val="24"/>
          <w:szCs w:val="24"/>
          <w:lang w:val="zh-CN"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9"/>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硕士论文</w:t>
      </w:r>
      <w:r>
        <w:rPr>
          <w:rFonts w:hint="eastAsia" w:ascii="宋体" w:hAnsi="宋体" w:cs="宋体"/>
          <w:color w:val="000000"/>
          <w:kern w:val="0"/>
          <w:sz w:val="24"/>
          <w:szCs w:val="24"/>
          <w:lang w:val="en-US" w:eastAsia="zh-CN" w:bidi="ar"/>
        </w:rPr>
        <w:t>库</w:t>
      </w:r>
      <w:r>
        <w:rPr>
          <w:rFonts w:hint="eastAsia" w:ascii="宋体" w:hAnsi="宋体" w:eastAsia="宋体" w:cs="宋体"/>
          <w:color w:val="000000"/>
          <w:kern w:val="0"/>
          <w:sz w:val="24"/>
          <w:szCs w:val="24"/>
          <w:lang w:val="en-US" w:eastAsia="zh-CN" w:bidi="ar"/>
        </w:rPr>
        <w:t xml:space="preserve">要求能够与其它数据库实现跨库检索，多个数据库可以实现一站式检索，动态链接。 </w:t>
      </w:r>
    </w:p>
    <w:p>
      <w:pPr>
        <w:keepNext w:val="0"/>
        <w:keepLines w:val="0"/>
        <w:widowControl/>
        <w:numPr>
          <w:ilvl w:val="0"/>
          <w:numId w:val="6"/>
        </w:numPr>
        <w:suppressLineNumbers w:val="0"/>
        <w:spacing w:line="360" w:lineRule="auto"/>
        <w:ind w:left="425" w:leftChars="0" w:hanging="425" w:firstLineChars="0"/>
        <w:jc w:val="left"/>
        <w:rPr>
          <w:rFonts w:ascii="Times New Roman" w:hAnsi="Times New Roman" w:cs="Times New Roman"/>
          <w:sz w:val="24"/>
          <w:szCs w:val="24"/>
        </w:rPr>
      </w:pPr>
      <w:r>
        <w:rPr>
          <w:rFonts w:hint="eastAsia" w:ascii="宋体" w:hAnsi="宋体" w:eastAsia="宋体" w:cs="宋体"/>
          <w:b/>
          <w:bCs/>
          <w:color w:val="000000"/>
          <w:kern w:val="0"/>
          <w:sz w:val="24"/>
          <w:szCs w:val="24"/>
          <w:lang w:val="en-US" w:eastAsia="zh-CN" w:bidi="ar"/>
        </w:rPr>
        <w:t>会议论文库要求</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10"/>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 xml:space="preserve">要求汇集了国内近3万次重要会议主办单位或论文汇编单位书面授权投稿的论文，基本囊括了我国各学科重要会议论文，是我国第一个连续出版重要会议论文的全文数据库。 </w:t>
      </w:r>
    </w:p>
    <w:p>
      <w:pPr>
        <w:keepNext w:val="0"/>
        <w:keepLines w:val="0"/>
        <w:widowControl/>
        <w:numPr>
          <w:ilvl w:val="0"/>
          <w:numId w:val="10"/>
        </w:numPr>
        <w:suppressLineNumbers w:val="0"/>
        <w:spacing w:line="360" w:lineRule="auto"/>
        <w:ind w:left="0" w:leftChars="0" w:firstLine="0" w:firstLineChars="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要求</w:t>
      </w:r>
      <w:r>
        <w:rPr>
          <w:rFonts w:hint="eastAsia" w:ascii="宋体" w:hAnsi="宋体" w:eastAsia="宋体" w:cs="宋体"/>
          <w:color w:val="000000"/>
          <w:kern w:val="0"/>
          <w:sz w:val="24"/>
          <w:szCs w:val="24"/>
          <w:lang w:val="zh-CN" w:eastAsia="zh-CN" w:bidi="ar"/>
        </w:rPr>
        <w:t>国家一级学会、协会召开的会议产出的论文收全率占9</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%以上。</w:t>
      </w:r>
    </w:p>
    <w:p>
      <w:pPr>
        <w:keepNext w:val="0"/>
        <w:keepLines w:val="0"/>
        <w:widowControl/>
        <w:numPr>
          <w:ilvl w:val="0"/>
          <w:numId w:val="10"/>
        </w:numPr>
        <w:suppressLineNumbers w:val="0"/>
        <w:spacing w:line="360" w:lineRule="auto"/>
        <w:ind w:left="0" w:leftChars="0" w:firstLine="0" w:firstLineChars="0"/>
        <w:jc w:val="left"/>
        <w:rPr>
          <w:rFonts w:hint="eastAsia" w:ascii="宋体" w:hAnsi="宋体" w:eastAsia="宋体" w:cs="宋体"/>
          <w:color w:val="000000"/>
          <w:kern w:val="0"/>
          <w:sz w:val="24"/>
          <w:szCs w:val="24"/>
          <w:lang w:val="zh-CN" w:eastAsia="zh-CN" w:bidi="ar"/>
        </w:rPr>
      </w:pP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收录了由国内外近3500余家授权单位推荐的 20664余次国内重要学术会议的论文，收录完整率达90％以上。</w:t>
      </w:r>
      <w:r>
        <w:rPr>
          <w:rFonts w:hint="eastAsia" w:ascii="宋体" w:hAnsi="宋体" w:eastAsia="宋体" w:cs="宋体"/>
          <w:color w:val="000000"/>
          <w:kern w:val="0"/>
          <w:sz w:val="24"/>
          <w:szCs w:val="24"/>
          <w:lang w:val="zh-CN" w:eastAsia="zh-CN" w:bidi="ar"/>
        </w:rPr>
        <w:t>截至</w:t>
      </w:r>
      <w:r>
        <w:rPr>
          <w:rFonts w:hint="eastAsia" w:ascii="宋体" w:hAnsi="宋体" w:eastAsia="宋体" w:cs="宋体"/>
          <w:color w:val="000000"/>
          <w:kern w:val="0"/>
          <w:sz w:val="24"/>
          <w:szCs w:val="24"/>
          <w:lang w:val="en-US" w:eastAsia="zh-CN" w:bidi="ar"/>
        </w:rPr>
        <w:t>目前</w:t>
      </w:r>
      <w:r>
        <w:rPr>
          <w:rFonts w:hint="eastAsia" w:ascii="宋体" w:hAnsi="宋体" w:eastAsia="宋体" w:cs="宋体"/>
          <w:color w:val="000000"/>
          <w:kern w:val="0"/>
          <w:sz w:val="24"/>
          <w:szCs w:val="24"/>
          <w:lang w:val="zh-CN" w:eastAsia="zh-CN" w:bidi="ar"/>
        </w:rPr>
        <w:t>收录论文</w:t>
      </w:r>
      <w:r>
        <w:rPr>
          <w:rFonts w:hint="eastAsia" w:ascii="宋体" w:hAnsi="宋体" w:eastAsia="宋体" w:cs="宋体"/>
          <w:color w:val="000000"/>
          <w:kern w:val="0"/>
          <w:sz w:val="24"/>
          <w:szCs w:val="24"/>
          <w:lang w:val="en-US" w:eastAsia="zh-CN" w:bidi="ar"/>
        </w:rPr>
        <w:t>不低于</w:t>
      </w:r>
      <w:r>
        <w:rPr>
          <w:rFonts w:hint="eastAsia" w:ascii="宋体" w:hAnsi="宋体" w:eastAsia="宋体" w:cs="宋体"/>
          <w:color w:val="000000"/>
          <w:kern w:val="0"/>
          <w:sz w:val="24"/>
          <w:szCs w:val="24"/>
          <w:lang w:val="zh-CN" w:eastAsia="zh-CN" w:bidi="ar"/>
        </w:rPr>
        <w:t>2</w:t>
      </w:r>
      <w:r>
        <w:rPr>
          <w:rFonts w:hint="eastAsia" w:ascii="宋体" w:hAnsi="宋体" w:eastAsia="宋体" w:cs="宋体"/>
          <w:color w:val="000000"/>
          <w:kern w:val="0"/>
          <w:sz w:val="24"/>
          <w:szCs w:val="24"/>
          <w:lang w:val="en-US" w:eastAsia="zh-CN" w:bidi="ar"/>
        </w:rPr>
        <w:t>00</w:t>
      </w:r>
      <w:r>
        <w:rPr>
          <w:rFonts w:hint="eastAsia" w:ascii="宋体" w:hAnsi="宋体" w:eastAsia="宋体" w:cs="宋体"/>
          <w:color w:val="000000"/>
          <w:kern w:val="0"/>
          <w:sz w:val="24"/>
          <w:szCs w:val="24"/>
          <w:lang w:val="zh-CN" w:eastAsia="zh-CN" w:bidi="ar"/>
        </w:rPr>
        <w:t>万余篇。</w:t>
      </w:r>
    </w:p>
    <w:p>
      <w:pPr>
        <w:keepNext w:val="0"/>
        <w:keepLines w:val="0"/>
        <w:widowControl/>
        <w:numPr>
          <w:ilvl w:val="0"/>
          <w:numId w:val="10"/>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要求</w:t>
      </w:r>
      <w:r>
        <w:rPr>
          <w:rFonts w:hint="eastAsia" w:ascii="宋体" w:hAnsi="宋体" w:eastAsia="宋体" w:cs="宋体"/>
          <w:color w:val="000000"/>
          <w:kern w:val="0"/>
          <w:sz w:val="24"/>
          <w:szCs w:val="24"/>
          <w:lang w:val="zh-CN" w:eastAsia="zh-CN" w:bidi="ar"/>
        </w:rPr>
        <w:t>支持通过分组排序对检索结果进行进一步筛选，可以按照科技、社科、主题（主要主题、次要主题）、主办单位、学科、会议论文集、基金、作者、单位、发表年度等进行分组浏览，也可以按照会议召开时间、相关度、被引频次、下载频次等进行排序浏览</w:t>
      </w:r>
      <w:r>
        <w:rPr>
          <w:rFonts w:hint="eastAsia" w:ascii="宋体" w:hAnsi="宋体" w:cs="宋体"/>
          <w:color w:val="000000"/>
          <w:kern w:val="0"/>
          <w:sz w:val="24"/>
          <w:szCs w:val="24"/>
          <w:lang w:val="zh-CN" w:eastAsia="zh-CN" w:bidi="ar"/>
        </w:rPr>
        <w:t>。</w:t>
      </w:r>
    </w:p>
    <w:p>
      <w:pPr>
        <w:keepNext w:val="0"/>
        <w:keepLines w:val="0"/>
        <w:widowControl/>
        <w:numPr>
          <w:ilvl w:val="0"/>
          <w:numId w:val="0"/>
        </w:numPr>
        <w:suppressLineNumbers w:val="0"/>
        <w:spacing w:line="360" w:lineRule="auto"/>
        <w:ind w:leftChars="0"/>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6"/>
        </w:numPr>
        <w:suppressLineNumbers w:val="0"/>
        <w:spacing w:line="360" w:lineRule="auto"/>
        <w:ind w:left="425" w:leftChars="0" w:hanging="425" w:firstLineChars="0"/>
        <w:jc w:val="left"/>
        <w:rPr>
          <w:rFonts w:ascii="Times New Roman" w:hAnsi="Times New Roman" w:cs="Times New Roman"/>
          <w:sz w:val="24"/>
          <w:szCs w:val="24"/>
        </w:rPr>
      </w:pPr>
      <w:r>
        <w:rPr>
          <w:rFonts w:hint="eastAsia" w:ascii="宋体" w:hAnsi="宋体" w:eastAsia="宋体" w:cs="宋体"/>
          <w:b/>
          <w:bCs/>
          <w:color w:val="000000"/>
          <w:kern w:val="0"/>
          <w:sz w:val="24"/>
          <w:szCs w:val="24"/>
          <w:lang w:val="en-US" w:eastAsia="zh-CN" w:bidi="ar"/>
        </w:rPr>
        <w:t xml:space="preserve">重要报纸库要求 </w:t>
      </w:r>
    </w:p>
    <w:p>
      <w:pPr>
        <w:keepNext w:val="0"/>
        <w:keepLines w:val="0"/>
        <w:widowControl/>
        <w:numPr>
          <w:ilvl w:val="0"/>
          <w:numId w:val="11"/>
        </w:numPr>
        <w:suppressLineNumbers w:val="0"/>
        <w:spacing w:line="360" w:lineRule="auto"/>
        <w:ind w:left="0" w:leftChars="0" w:firstLine="0" w:firstLineChars="0"/>
        <w:jc w:val="left"/>
        <w:rPr>
          <w:rFonts w:ascii="Times New Roman" w:hAnsi="Times New Roman" w:cs="Times New Roman"/>
          <w:sz w:val="24"/>
          <w:szCs w:val="24"/>
        </w:rPr>
      </w:pPr>
      <w:r>
        <w:rPr>
          <w:rFonts w:hint="eastAsia" w:ascii="宋体" w:hAnsi="宋体" w:eastAsia="宋体" w:cs="宋体"/>
          <w:color w:val="000000"/>
          <w:kern w:val="0"/>
          <w:sz w:val="24"/>
          <w:szCs w:val="24"/>
          <w:lang w:val="en-US" w:eastAsia="zh-CN" w:bidi="ar"/>
        </w:rPr>
        <w:t>要求收录各级党报及特色行业报等重要报纸不低于</w:t>
      </w:r>
      <w:r>
        <w:rPr>
          <w:rFonts w:hint="eastAsia" w:ascii="宋体" w:hAnsi="宋体" w:cs="宋体"/>
          <w:color w:val="000000"/>
          <w:kern w:val="0"/>
          <w:sz w:val="24"/>
          <w:szCs w:val="24"/>
          <w:lang w:val="en-US" w:eastAsia="zh-CN" w:bidi="ar"/>
        </w:rPr>
        <w:t>540</w:t>
      </w:r>
      <w:r>
        <w:rPr>
          <w:rFonts w:hint="eastAsia" w:ascii="宋体" w:hAnsi="宋体" w:eastAsia="宋体" w:cs="宋体"/>
          <w:color w:val="000000"/>
          <w:kern w:val="0"/>
          <w:sz w:val="24"/>
          <w:szCs w:val="24"/>
          <w:lang w:val="en-US" w:eastAsia="zh-CN" w:bidi="ar"/>
        </w:rPr>
        <w:t>种；</w:t>
      </w:r>
      <w:r>
        <w:rPr>
          <w:rFonts w:hint="eastAsia" w:ascii="宋体" w:hAnsi="宋体" w:cs="宋体"/>
          <w:color w:val="000000"/>
          <w:kern w:val="0"/>
          <w:sz w:val="24"/>
          <w:szCs w:val="24"/>
          <w:lang w:val="en-US" w:eastAsia="zh-CN" w:bidi="ar"/>
        </w:rPr>
        <w:t>要求</w:t>
      </w:r>
      <w:r>
        <w:rPr>
          <w:rFonts w:hint="eastAsia" w:ascii="宋体" w:hAnsi="宋体" w:eastAsia="宋体" w:cs="宋体"/>
          <w:color w:val="000000"/>
          <w:kern w:val="0"/>
          <w:sz w:val="24"/>
          <w:szCs w:val="24"/>
          <w:lang w:val="en-US" w:eastAsia="zh-CN" w:bidi="ar"/>
        </w:rPr>
        <w:t>收录2000年以来的重要新闻和学术文献资料。网络出版平均滞后报纸印刷出版</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天。 </w:t>
      </w:r>
    </w:p>
    <w:p>
      <w:pPr>
        <w:keepNext w:val="0"/>
        <w:keepLines w:val="0"/>
        <w:widowControl/>
        <w:numPr>
          <w:ilvl w:val="0"/>
          <w:numId w:val="11"/>
        </w:numPr>
        <w:suppressLineNumbers w:val="0"/>
        <w:spacing w:line="360" w:lineRule="auto"/>
        <w:ind w:left="0" w:leftChars="0" w:firstLine="0" w:firstLineChars="0"/>
        <w:jc w:val="left"/>
        <w:rPr>
          <w:rFonts w:ascii="Times New Roman" w:hAnsi="Times New Roman" w:cs="Times New Roman"/>
          <w:szCs w:val="22"/>
        </w:rPr>
      </w:pPr>
      <w:r>
        <w:rPr>
          <w:rFonts w:hint="eastAsia" w:ascii="宋体" w:hAnsi="宋体" w:eastAsia="宋体" w:cs="宋体"/>
          <w:color w:val="000000"/>
          <w:kern w:val="0"/>
          <w:sz w:val="24"/>
          <w:szCs w:val="24"/>
          <w:lang w:val="en-US" w:eastAsia="zh-CN" w:bidi="ar"/>
        </w:rPr>
        <w:t>要求收录中央级各类报纸，各省、自治区、直辖市及其他地市级城市党报，以及面向全国公开发行的具有一定影响力的特色重要行业性报纸。</w:t>
      </w:r>
    </w:p>
    <w:p>
      <w:pPr>
        <w:keepNext w:val="0"/>
        <w:keepLines w:val="0"/>
        <w:widowControl/>
        <w:numPr>
          <w:ilvl w:val="0"/>
          <w:numId w:val="6"/>
        </w:numPr>
        <w:suppressLineNumbers w:val="0"/>
        <w:spacing w:line="360" w:lineRule="auto"/>
        <w:ind w:left="425" w:leftChars="0" w:hanging="425" w:firstLineChars="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年鉴库要求</w:t>
      </w:r>
    </w:p>
    <w:p>
      <w:pPr>
        <w:keepNext w:val="0"/>
        <w:keepLines w:val="0"/>
        <w:widowControl/>
        <w:numPr>
          <w:ilvl w:val="0"/>
          <w:numId w:val="12"/>
        </w:numPr>
        <w:suppressLineNumbers w:val="0"/>
        <w:spacing w:line="360" w:lineRule="auto"/>
        <w:ind w:left="0" w:leftChars="0" w:firstLine="0" w:firstLineChars="0"/>
        <w:jc w:val="left"/>
        <w:rPr>
          <w:rFonts w:hint="eastAsia" w:ascii="Times New Roman" w:hAnsi="Times New Roman" w:cs="Times New Roman"/>
          <w:snapToGrid/>
          <w:spacing w:val="0"/>
          <w:w w:val="100"/>
          <w:kern w:val="2"/>
          <w:sz w:val="24"/>
          <w:szCs w:val="22"/>
          <w:lang w:val="en-US" w:eastAsia="zh-CN"/>
        </w:rPr>
      </w:pPr>
      <w:r>
        <w:rPr>
          <w:rFonts w:hint="eastAsia" w:ascii="Times New Roman" w:hAnsi="Times New Roman" w:cs="Times New Roman"/>
          <w:snapToGrid/>
          <w:spacing w:val="0"/>
          <w:w w:val="100"/>
          <w:kern w:val="2"/>
          <w:sz w:val="24"/>
          <w:szCs w:val="22"/>
          <w:lang w:val="en-US" w:eastAsia="zh-CN"/>
        </w:rPr>
        <w:t>要求累计收录各类年鉴5300种，共计40000余册。文献条目数约3800万条。</w:t>
      </w:r>
    </w:p>
    <w:p>
      <w:pPr>
        <w:keepNext w:val="0"/>
        <w:keepLines w:val="0"/>
        <w:widowControl/>
        <w:numPr>
          <w:ilvl w:val="0"/>
          <w:numId w:val="12"/>
        </w:numPr>
        <w:suppressLineNumbers w:val="0"/>
        <w:spacing w:line="360" w:lineRule="auto"/>
        <w:ind w:left="0" w:leftChars="0" w:firstLine="0" w:firstLineChars="0"/>
        <w:jc w:val="left"/>
        <w:rPr>
          <w:rFonts w:hint="eastAsia" w:ascii="Times New Roman" w:hAnsi="Times New Roman" w:cs="Times New Roman"/>
          <w:snapToGrid/>
          <w:spacing w:val="0"/>
          <w:w w:val="100"/>
          <w:kern w:val="2"/>
          <w:sz w:val="24"/>
          <w:szCs w:val="22"/>
          <w:lang w:val="en-US" w:eastAsia="zh-CN"/>
        </w:rPr>
      </w:pPr>
      <w:r>
        <w:rPr>
          <w:rFonts w:hint="eastAsia" w:ascii="Times New Roman" w:hAnsi="Times New Roman" w:cs="Times New Roman"/>
          <w:snapToGrid/>
          <w:spacing w:val="0"/>
          <w:w w:val="100"/>
          <w:kern w:val="2"/>
          <w:sz w:val="24"/>
          <w:szCs w:val="22"/>
          <w:lang w:val="en-US" w:eastAsia="zh-CN"/>
        </w:rPr>
        <w:t>要求可按行业、地域、出版者、学科、年鉴级别浏览各类年鉴，读者可按目录浏览条目。</w:t>
      </w:r>
    </w:p>
    <w:p>
      <w:pPr>
        <w:keepNext w:val="0"/>
        <w:keepLines w:val="0"/>
        <w:widowControl/>
        <w:numPr>
          <w:ilvl w:val="0"/>
          <w:numId w:val="12"/>
        </w:numPr>
        <w:suppressLineNumbers w:val="0"/>
        <w:spacing w:line="360" w:lineRule="auto"/>
        <w:ind w:left="0" w:leftChars="0" w:firstLine="0" w:firstLineChars="0"/>
        <w:jc w:val="left"/>
        <w:rPr>
          <w:rFonts w:hint="eastAsia" w:ascii="Times New Roman" w:hAnsi="Times New Roman" w:cs="Times New Roman"/>
          <w:snapToGrid/>
          <w:spacing w:val="0"/>
          <w:w w:val="100"/>
          <w:kern w:val="2"/>
          <w:sz w:val="24"/>
          <w:szCs w:val="22"/>
          <w:lang w:val="en-US" w:eastAsia="zh-CN"/>
        </w:rPr>
      </w:pPr>
      <w:r>
        <w:rPr>
          <w:rFonts w:hint="eastAsia" w:ascii="Times New Roman" w:hAnsi="Times New Roman" w:cs="Times New Roman"/>
          <w:snapToGrid/>
          <w:spacing w:val="0"/>
          <w:w w:val="100"/>
          <w:kern w:val="2"/>
          <w:sz w:val="24"/>
          <w:szCs w:val="22"/>
          <w:lang w:val="en-US" w:eastAsia="zh-CN"/>
        </w:rPr>
        <w:t>要求在检索前可通过三种检索导航模式（行业分类、专辑分类、地域分类），限定检索范围，控制检索区域，精确检索结果。</w:t>
      </w:r>
    </w:p>
    <w:p>
      <w:pPr>
        <w:keepNext w:val="0"/>
        <w:keepLines w:val="0"/>
        <w:widowControl/>
        <w:numPr>
          <w:ilvl w:val="0"/>
          <w:numId w:val="12"/>
        </w:numPr>
        <w:suppressLineNumbers w:val="0"/>
        <w:spacing w:line="360" w:lineRule="auto"/>
        <w:ind w:left="0" w:leftChars="0" w:firstLine="0" w:firstLineChars="0"/>
        <w:jc w:val="left"/>
        <w:rPr>
          <w:rFonts w:ascii="Times New Roman" w:hAnsi="Times New Roman" w:cs="Times New Roman"/>
          <w:snapToGrid/>
          <w:spacing w:val="0"/>
          <w:w w:val="100"/>
          <w:kern w:val="2"/>
          <w:sz w:val="24"/>
          <w:szCs w:val="22"/>
        </w:rPr>
      </w:pPr>
      <w:r>
        <w:rPr>
          <w:rFonts w:hint="eastAsia" w:ascii="Times New Roman" w:hAnsi="Times New Roman" w:cs="Times New Roman"/>
          <w:snapToGrid/>
          <w:spacing w:val="0"/>
          <w:w w:val="100"/>
          <w:kern w:val="2"/>
          <w:sz w:val="24"/>
          <w:szCs w:val="22"/>
          <w:lang w:val="en-US" w:eastAsia="zh-CN"/>
        </w:rPr>
        <w:t>要求</w:t>
      </w:r>
      <w:r>
        <w:rPr>
          <w:rFonts w:hint="eastAsia" w:ascii="Times New Roman" w:hAnsi="Times New Roman" w:cs="Times New Roman"/>
          <w:snapToGrid/>
          <w:spacing w:val="0"/>
          <w:w w:val="100"/>
          <w:kern w:val="2"/>
          <w:sz w:val="24"/>
          <w:szCs w:val="22"/>
        </w:rPr>
        <w:t>具有知网节功能，可以链接到期刊、博硕、会议、报纸等数据库使用</w:t>
      </w:r>
      <w:r>
        <w:rPr>
          <w:rFonts w:ascii="Times New Roman" w:hAnsi="Times New Roman" w:cs="Times New Roman"/>
          <w:snapToGrid/>
          <w:spacing w:val="0"/>
          <w:w w:val="100"/>
          <w:kern w:val="2"/>
          <w:sz w:val="24"/>
          <w:szCs w:val="22"/>
        </w:rPr>
        <w:t xml:space="preserve">。 </w:t>
      </w:r>
    </w:p>
    <w:p>
      <w:pPr>
        <w:keepNext w:val="0"/>
        <w:keepLines w:val="0"/>
        <w:widowControl/>
        <w:numPr>
          <w:ilvl w:val="0"/>
          <w:numId w:val="6"/>
        </w:numPr>
        <w:suppressLineNumbers w:val="0"/>
        <w:spacing w:line="360" w:lineRule="auto"/>
        <w:ind w:left="425" w:leftChars="0" w:hanging="425"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工具书总库要求</w:t>
      </w:r>
    </w:p>
    <w:p>
      <w:pPr>
        <w:keepNext w:val="0"/>
        <w:keepLines w:val="0"/>
        <w:widowControl/>
        <w:numPr>
          <w:ilvl w:val="0"/>
          <w:numId w:val="13"/>
        </w:numPr>
        <w:suppressLineNumbers w:val="0"/>
        <w:spacing w:line="360" w:lineRule="auto"/>
        <w:ind w:left="0" w:leftChars="0" w:firstLine="0" w:firstLineChars="0"/>
        <w:jc w:val="left"/>
        <w:rPr>
          <w:rFonts w:ascii="Times New Roman" w:hAnsi="Times New Roman" w:cs="Times New Roman"/>
          <w:snapToGrid/>
          <w:spacing w:val="0"/>
          <w:w w:val="100"/>
          <w:kern w:val="2"/>
          <w:sz w:val="24"/>
          <w:szCs w:val="22"/>
        </w:rPr>
      </w:pPr>
      <w:r>
        <w:rPr>
          <w:rFonts w:hint="eastAsia" w:ascii="Times New Roman" w:hAnsi="Times New Roman" w:cs="Times New Roman"/>
          <w:snapToGrid/>
          <w:spacing w:val="0"/>
          <w:w w:val="100"/>
          <w:kern w:val="2"/>
          <w:sz w:val="24"/>
          <w:szCs w:val="22"/>
          <w:lang w:val="en-US" w:eastAsia="zh-CN"/>
        </w:rPr>
        <w:t>要求</w:t>
      </w:r>
      <w:r>
        <w:rPr>
          <w:rFonts w:hint="eastAsia" w:ascii="Times New Roman" w:hAnsi="Times New Roman" w:cs="Times New Roman"/>
          <w:snapToGrid/>
          <w:spacing w:val="0"/>
          <w:w w:val="100"/>
          <w:kern w:val="2"/>
          <w:sz w:val="24"/>
          <w:szCs w:val="22"/>
        </w:rPr>
        <w:t>内容涵盖社会科学、自然科学、工程技术等各个方面，以全学科、多领域的“总库”整合模式，构建了完整、系统、规范和有序的知识库。</w:t>
      </w:r>
    </w:p>
    <w:p>
      <w:pPr>
        <w:keepNext w:val="0"/>
        <w:keepLines w:val="0"/>
        <w:widowControl/>
        <w:numPr>
          <w:ilvl w:val="0"/>
          <w:numId w:val="13"/>
        </w:numPr>
        <w:suppressLineNumbers w:val="0"/>
        <w:spacing w:line="360" w:lineRule="auto"/>
        <w:ind w:left="0" w:leftChars="0" w:firstLine="0" w:firstLineChars="0"/>
        <w:jc w:val="left"/>
        <w:rPr>
          <w:rFonts w:hint="default" w:ascii="Times New Roman" w:hAnsi="Times New Roman" w:cs="Times New Roman"/>
          <w:snapToGrid/>
          <w:spacing w:val="0"/>
          <w:w w:val="100"/>
          <w:kern w:val="2"/>
          <w:sz w:val="24"/>
          <w:szCs w:val="22"/>
          <w:lang w:val="en-US" w:eastAsia="zh-CN"/>
        </w:rPr>
      </w:pPr>
      <w:r>
        <w:rPr>
          <w:rFonts w:hint="eastAsia" w:ascii="Times New Roman" w:hAnsi="Times New Roman" w:cs="Times New Roman"/>
          <w:snapToGrid/>
          <w:spacing w:val="0"/>
          <w:w w:val="100"/>
          <w:kern w:val="2"/>
          <w:sz w:val="24"/>
          <w:szCs w:val="22"/>
          <w:lang w:val="en-US" w:eastAsia="zh-CN"/>
        </w:rPr>
        <w:t>要求收录资源类型分语言文字类工具书、资料类工具书、检索性工具书三大类，语言文字类工具书包括古汉语、现代汉语、翻译、熟语、方言、语法辨析、少数民族语言等，资料类工具书包括手册、专科辞典、百科全书、专著、史书、科技图录、医学图谱、年表、志书、类书等，检索性工具书包括目录和索引</w:t>
      </w:r>
      <w:r>
        <w:rPr>
          <w:rFonts w:hint="eastAsia" w:ascii="Times New Roman" w:hAnsi="Times New Roman" w:cs="Times New Roman"/>
          <w:snapToGrid/>
          <w:spacing w:val="0"/>
          <w:w w:val="100"/>
          <w:kern w:val="2"/>
          <w:sz w:val="24"/>
          <w:szCs w:val="22"/>
        </w:rPr>
        <w:t>。</w:t>
      </w:r>
    </w:p>
    <w:p>
      <w:pPr>
        <w:keepNext w:val="0"/>
        <w:keepLines w:val="0"/>
        <w:widowControl/>
        <w:numPr>
          <w:ilvl w:val="0"/>
          <w:numId w:val="13"/>
        </w:numPr>
        <w:suppressLineNumbers w:val="0"/>
        <w:spacing w:line="360" w:lineRule="auto"/>
        <w:ind w:left="0" w:leftChars="0" w:firstLine="0" w:firstLineChars="0"/>
        <w:jc w:val="left"/>
        <w:rPr>
          <w:rFonts w:hint="default" w:ascii="Times New Roman" w:hAnsi="Times New Roman" w:cs="Times New Roman"/>
          <w:snapToGrid/>
          <w:spacing w:val="0"/>
          <w:w w:val="100"/>
          <w:kern w:val="2"/>
          <w:sz w:val="24"/>
          <w:szCs w:val="22"/>
          <w:lang w:val="en-US" w:eastAsia="zh-CN"/>
        </w:rPr>
      </w:pPr>
      <w:r>
        <w:rPr>
          <w:rFonts w:hint="eastAsia" w:ascii="Times New Roman" w:hAnsi="Times New Roman" w:cs="Times New Roman"/>
          <w:snapToGrid/>
          <w:spacing w:val="0"/>
          <w:w w:val="100"/>
          <w:kern w:val="2"/>
          <w:sz w:val="24"/>
          <w:szCs w:val="22"/>
          <w:lang w:eastAsia="zh-CN"/>
        </w:rPr>
        <w:t>除了作为检索工具外，</w:t>
      </w:r>
      <w:r>
        <w:rPr>
          <w:rFonts w:hint="eastAsia" w:ascii="Times New Roman" w:hAnsi="Times New Roman" w:cs="Times New Roman"/>
          <w:snapToGrid/>
          <w:spacing w:val="0"/>
          <w:w w:val="100"/>
          <w:kern w:val="2"/>
          <w:sz w:val="24"/>
          <w:szCs w:val="22"/>
          <w:lang w:val="en-US" w:eastAsia="zh-CN"/>
        </w:rPr>
        <w:t>工具书总库</w:t>
      </w:r>
      <w:r>
        <w:rPr>
          <w:rFonts w:hint="eastAsia" w:ascii="Times New Roman" w:hAnsi="Times New Roman" w:cs="Times New Roman"/>
          <w:snapToGrid/>
          <w:spacing w:val="0"/>
          <w:w w:val="100"/>
          <w:kern w:val="2"/>
          <w:sz w:val="24"/>
          <w:szCs w:val="22"/>
          <w:lang w:eastAsia="zh-CN"/>
        </w:rPr>
        <w:t>的各条目还可以与期刊文献、博硕士论文等建立链接关系，即读者在阅读过程中如遇到了生僻字、术语、专名等疑难时，可直接点击鼠标，通过划词链接或屏幕取词的方式进入工具书条目中，扫除学习障碍，也提升原有文献的价值和图书馆的知识服务能力。</w:t>
      </w:r>
    </w:p>
    <w:p>
      <w:pPr>
        <w:keepNext w:val="0"/>
        <w:keepLines w:val="0"/>
        <w:widowControl/>
        <w:numPr>
          <w:ilvl w:val="0"/>
          <w:numId w:val="6"/>
        </w:numPr>
        <w:suppressLineNumbers w:val="0"/>
        <w:spacing w:line="360" w:lineRule="auto"/>
        <w:ind w:left="425" w:leftChars="0" w:hanging="425" w:firstLineChars="0"/>
        <w:jc w:val="left"/>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中国高等教育期刊文献总库</w:t>
      </w:r>
    </w:p>
    <w:p>
      <w:pPr>
        <w:keepNext w:val="0"/>
        <w:keepLines w:val="0"/>
        <w:widowControl/>
        <w:numPr>
          <w:ilvl w:val="0"/>
          <w:numId w:val="14"/>
        </w:numPr>
        <w:suppressLineNumbers w:val="0"/>
        <w:spacing w:line="360" w:lineRule="auto"/>
        <w:ind w:left="0" w:leftChars="0"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要求内容来源于我国正式出版发行的高等教育教学类期刊以及其他学术期刊中与高等教育教学有关的文献</w:t>
      </w:r>
      <w:r>
        <w:rPr>
          <w:rFonts w:hint="eastAsia" w:ascii="宋体" w:hAnsi="宋体" w:cs="宋体"/>
          <w:sz w:val="24"/>
          <w:szCs w:val="24"/>
          <w:lang w:val="zh-CN"/>
        </w:rPr>
        <w:t>。</w:t>
      </w:r>
    </w:p>
    <w:p>
      <w:pPr>
        <w:keepNext w:val="0"/>
        <w:keepLines w:val="0"/>
        <w:widowControl/>
        <w:numPr>
          <w:ilvl w:val="0"/>
          <w:numId w:val="14"/>
        </w:numPr>
        <w:suppressLineNumbers w:val="0"/>
        <w:spacing w:line="360" w:lineRule="auto"/>
        <w:ind w:left="0" w:leftChars="0" w:firstLine="0" w:firstLineChars="0"/>
        <w:jc w:val="left"/>
        <w:rPr>
          <w:rFonts w:hint="default" w:ascii="Times New Roman" w:hAnsi="Times New Roman" w:cs="Times New Roman"/>
          <w:szCs w:val="22"/>
          <w:lang w:val="en-US" w:eastAsia="zh-CN"/>
        </w:rPr>
      </w:pPr>
      <w:r>
        <w:rPr>
          <w:rFonts w:hint="eastAsia" w:ascii="宋体" w:hAnsi="宋体" w:cs="宋体"/>
          <w:sz w:val="24"/>
          <w:szCs w:val="24"/>
          <w:lang w:val="en-US" w:eastAsia="zh-CN"/>
        </w:rPr>
        <w:t>要求收录了</w:t>
      </w:r>
      <w:r>
        <w:rPr>
          <w:rFonts w:hint="eastAsia" w:ascii="宋体" w:hAnsi="宋体" w:cs="宋体"/>
          <w:sz w:val="24"/>
          <w:szCs w:val="24"/>
          <w:lang w:val="zh-CN"/>
        </w:rPr>
        <w:t>5</w:t>
      </w:r>
      <w:r>
        <w:rPr>
          <w:rFonts w:hint="eastAsia" w:ascii="宋体" w:hAnsi="宋体" w:cs="宋体"/>
          <w:sz w:val="24"/>
          <w:szCs w:val="24"/>
          <w:lang w:val="en-US" w:eastAsia="zh-CN"/>
        </w:rPr>
        <w:t>00余</w:t>
      </w:r>
      <w:r>
        <w:rPr>
          <w:rFonts w:hint="eastAsia" w:ascii="宋体" w:hAnsi="宋体" w:cs="宋体"/>
          <w:sz w:val="24"/>
          <w:szCs w:val="24"/>
          <w:lang w:val="zh-CN"/>
        </w:rPr>
        <w:t>种</w:t>
      </w:r>
      <w:r>
        <w:rPr>
          <w:rFonts w:hint="eastAsia" w:ascii="宋体" w:hAnsi="宋体" w:cs="宋体"/>
          <w:sz w:val="24"/>
          <w:szCs w:val="24"/>
          <w:lang w:val="en-US" w:eastAsia="zh-CN"/>
        </w:rPr>
        <w:t>整刊文献，根据文献内容设立教育教学研究、课程教与学、院校规划与建设、党建工作与政治教育、行政工作、教务工作、总务工作、财务工作、图书馆工作、科研工作、教师管理、学生园地、院校相关报道等13大类栏目</w:t>
      </w:r>
      <w:r>
        <w:rPr>
          <w:rFonts w:hint="eastAsia" w:ascii="宋体" w:hAnsi="宋体" w:cs="宋体"/>
          <w:sz w:val="24"/>
          <w:szCs w:val="24"/>
          <w:lang w:val="zh-CN"/>
        </w:rPr>
        <w:t>。</w:t>
      </w:r>
    </w:p>
    <w:p>
      <w:pPr>
        <w:keepNext w:val="0"/>
        <w:keepLines w:val="0"/>
        <w:widowControl/>
        <w:numPr>
          <w:ilvl w:val="0"/>
          <w:numId w:val="5"/>
        </w:numPr>
        <w:suppressLineNumbers w:val="0"/>
        <w:spacing w:line="360" w:lineRule="auto"/>
        <w:ind w:left="0" w:leftChars="0" w:firstLine="420" w:firstLineChars="0"/>
        <w:jc w:val="left"/>
        <w:rPr>
          <w:rFonts w:ascii="宋体" w:hAnsi="宋体" w:cs="Times New Roman"/>
          <w:b/>
          <w:sz w:val="24"/>
          <w:szCs w:val="22"/>
        </w:rPr>
      </w:pPr>
      <w:r>
        <w:rPr>
          <w:rFonts w:hint="eastAsia" w:ascii="宋体" w:hAnsi="宋体" w:cs="Times New Roman"/>
          <w:b/>
          <w:sz w:val="24"/>
          <w:szCs w:val="22"/>
        </w:rPr>
        <w:t>数字图书馆检索平台及数据库的使用功能</w:t>
      </w:r>
    </w:p>
    <w:p>
      <w:pPr>
        <w:numPr>
          <w:ilvl w:val="0"/>
          <w:numId w:val="15"/>
        </w:numPr>
        <w:snapToGrid w:val="0"/>
        <w:spacing w:line="360" w:lineRule="auto"/>
        <w:ind w:left="425" w:leftChars="0" w:hanging="425" w:firstLineChars="0"/>
        <w:rPr>
          <w:rFonts w:ascii="宋体" w:hAnsi="Times New Roman" w:cs="Times New Roman"/>
          <w:b/>
          <w:sz w:val="24"/>
          <w:szCs w:val="22"/>
        </w:rPr>
      </w:pPr>
      <w:r>
        <w:rPr>
          <w:rFonts w:hint="eastAsia" w:ascii="宋体" w:hAnsi="宋体" w:cs="Times New Roman"/>
          <w:b/>
          <w:sz w:val="24"/>
          <w:szCs w:val="22"/>
        </w:rPr>
        <w:t>文献数据库网上远程访问</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1</w:t>
      </w:r>
      <w:r>
        <w:rPr>
          <w:rFonts w:hint="eastAsia" w:ascii="宋体" w:hAnsi="宋体" w:cs="Times New Roman"/>
          <w:sz w:val="24"/>
          <w:szCs w:val="22"/>
        </w:rPr>
        <w:t>）每周</w:t>
      </w:r>
      <w:r>
        <w:rPr>
          <w:rFonts w:ascii="宋体" w:hAnsi="宋体" w:cs="Times New Roman"/>
          <w:sz w:val="24"/>
          <w:szCs w:val="22"/>
        </w:rPr>
        <w:t>7*24</w:t>
      </w:r>
      <w:r>
        <w:rPr>
          <w:rFonts w:hint="eastAsia" w:ascii="宋体" w:hAnsi="宋体" w:cs="Times New Roman"/>
          <w:sz w:val="24"/>
          <w:szCs w:val="22"/>
        </w:rPr>
        <w:t>小时提供服务。</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2</w:t>
      </w:r>
      <w:r>
        <w:rPr>
          <w:rFonts w:hint="eastAsia" w:ascii="宋体" w:hAnsi="宋体" w:cs="Times New Roman"/>
          <w:sz w:val="24"/>
          <w:szCs w:val="22"/>
        </w:rPr>
        <w:t>）在我校校园网</w:t>
      </w:r>
      <w:r>
        <w:rPr>
          <w:rFonts w:ascii="宋体" w:hAnsi="宋体" w:cs="Times New Roman"/>
          <w:sz w:val="24"/>
          <w:szCs w:val="22"/>
        </w:rPr>
        <w:t>IP</w:t>
      </w:r>
      <w:r>
        <w:rPr>
          <w:rFonts w:hint="eastAsia" w:ascii="宋体" w:hAnsi="宋体" w:cs="Times New Roman"/>
          <w:sz w:val="24"/>
          <w:szCs w:val="22"/>
        </w:rPr>
        <w:t>地址范围内使用。并有</w:t>
      </w:r>
      <w:r>
        <w:rPr>
          <w:rFonts w:ascii="宋体" w:hAnsi="宋体" w:cs="Times New Roman"/>
          <w:sz w:val="24"/>
          <w:szCs w:val="22"/>
        </w:rPr>
        <w:t>IP</w:t>
      </w:r>
      <w:r>
        <w:rPr>
          <w:rFonts w:hint="eastAsia" w:ascii="宋体" w:hAnsi="宋体" w:cs="Times New Roman"/>
          <w:sz w:val="24"/>
          <w:szCs w:val="22"/>
        </w:rPr>
        <w:t>地址外使用账号管理功能。</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3</w:t>
      </w:r>
      <w:r>
        <w:rPr>
          <w:rFonts w:hint="eastAsia" w:ascii="宋体" w:hAnsi="宋体" w:cs="Times New Roman"/>
          <w:sz w:val="24"/>
          <w:szCs w:val="22"/>
        </w:rPr>
        <w:t>）数据库文献资源出现的版权问题由网络数据库提供商负责解决。</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4</w:t>
      </w:r>
      <w:r>
        <w:rPr>
          <w:rFonts w:hint="eastAsia" w:ascii="宋体" w:hAnsi="宋体" w:cs="Times New Roman"/>
          <w:sz w:val="24"/>
          <w:szCs w:val="22"/>
        </w:rPr>
        <w:t>）数据库提供商每月按时向我校图书馆通报数据库访问量。</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5</w:t>
      </w:r>
      <w:r>
        <w:rPr>
          <w:rFonts w:hint="eastAsia" w:ascii="宋体" w:hAnsi="宋体" w:cs="Times New Roman"/>
          <w:sz w:val="24"/>
          <w:szCs w:val="22"/>
        </w:rPr>
        <w:t>）具有停订以前所订数据库的永久使用权。</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6</w:t>
      </w:r>
      <w:r>
        <w:rPr>
          <w:rFonts w:hint="eastAsia" w:ascii="宋体" w:hAnsi="宋体" w:cs="Times New Roman"/>
          <w:sz w:val="24"/>
          <w:szCs w:val="22"/>
        </w:rPr>
        <w:t>）提供所订数据库的介质。</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7</w:t>
      </w:r>
      <w:r>
        <w:rPr>
          <w:rFonts w:hint="eastAsia" w:ascii="宋体" w:hAnsi="宋体" w:cs="Times New Roman"/>
          <w:sz w:val="24"/>
          <w:szCs w:val="22"/>
        </w:rPr>
        <w:t>）数据库提供商应免费为用户提供技术培训。</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8</w:t>
      </w:r>
      <w:r>
        <w:rPr>
          <w:rFonts w:hint="eastAsia" w:ascii="宋体" w:hAnsi="宋体" w:cs="Times New Roman"/>
          <w:sz w:val="24"/>
          <w:szCs w:val="22"/>
        </w:rPr>
        <w:t>）当远程访问的数据库服务器出现故障，数据库提供商应在</w:t>
      </w:r>
      <w:r>
        <w:rPr>
          <w:rFonts w:ascii="宋体" w:hAnsi="宋体" w:cs="Times New Roman"/>
          <w:sz w:val="24"/>
          <w:szCs w:val="22"/>
        </w:rPr>
        <w:t>24</w:t>
      </w:r>
      <w:r>
        <w:rPr>
          <w:rFonts w:hint="eastAsia" w:ascii="宋体" w:hAnsi="宋体" w:cs="Times New Roman"/>
          <w:sz w:val="24"/>
          <w:szCs w:val="22"/>
        </w:rPr>
        <w:t>小时内提供别的可访问的服务器。</w:t>
      </w:r>
    </w:p>
    <w:p>
      <w:pPr>
        <w:numPr>
          <w:ilvl w:val="0"/>
          <w:numId w:val="15"/>
        </w:numPr>
        <w:snapToGrid w:val="0"/>
        <w:spacing w:line="360" w:lineRule="auto"/>
        <w:ind w:left="425" w:leftChars="0" w:hanging="425" w:firstLineChars="0"/>
        <w:rPr>
          <w:rFonts w:ascii="宋体" w:hAnsi="Times New Roman" w:cs="Times New Roman"/>
          <w:b/>
          <w:sz w:val="24"/>
          <w:szCs w:val="22"/>
        </w:rPr>
      </w:pPr>
      <w:r>
        <w:rPr>
          <w:rFonts w:hint="eastAsia" w:ascii="宋体" w:hAnsi="宋体" w:cs="Times New Roman"/>
          <w:b/>
          <w:sz w:val="24"/>
          <w:szCs w:val="22"/>
        </w:rPr>
        <w:t>文献数据库本地镜像</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1</w:t>
      </w:r>
      <w:r>
        <w:rPr>
          <w:rFonts w:hint="eastAsia" w:ascii="宋体" w:hAnsi="宋体" w:cs="Times New Roman"/>
          <w:sz w:val="24"/>
          <w:szCs w:val="22"/>
        </w:rPr>
        <w:t>）做到每周</w:t>
      </w:r>
      <w:r>
        <w:rPr>
          <w:rFonts w:ascii="宋体" w:hAnsi="宋体" w:cs="Times New Roman"/>
          <w:sz w:val="24"/>
          <w:szCs w:val="22"/>
        </w:rPr>
        <w:t>7*24</w:t>
      </w:r>
      <w:r>
        <w:rPr>
          <w:rFonts w:hint="eastAsia" w:ascii="宋体" w:hAnsi="宋体" w:cs="Times New Roman"/>
          <w:sz w:val="24"/>
          <w:szCs w:val="22"/>
        </w:rPr>
        <w:t>小时服务响应，如果镜像数据出现故障，首先通过电话咨询解决，否则，网络文献数据库提供商技术人员三日内赶到我校，现场进行维护；</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2</w:t>
      </w:r>
      <w:r>
        <w:rPr>
          <w:rFonts w:hint="eastAsia" w:ascii="宋体" w:hAnsi="宋体" w:cs="Times New Roman"/>
          <w:sz w:val="24"/>
          <w:szCs w:val="22"/>
        </w:rPr>
        <w:t>）由于我校硬件出现故障，导致镜像数据不能正常使用的，网络文献数据库提供商应免费在</w:t>
      </w:r>
      <w:r>
        <w:rPr>
          <w:rFonts w:ascii="宋体" w:hAnsi="宋体" w:cs="Times New Roman"/>
          <w:sz w:val="24"/>
          <w:szCs w:val="22"/>
        </w:rPr>
        <w:t>24</w:t>
      </w:r>
      <w:r>
        <w:rPr>
          <w:rFonts w:hint="eastAsia" w:ascii="宋体" w:hAnsi="宋体" w:cs="Times New Roman"/>
          <w:sz w:val="24"/>
          <w:szCs w:val="22"/>
        </w:rPr>
        <w:t>小时内为我校在校园网</w:t>
      </w:r>
      <w:r>
        <w:rPr>
          <w:rFonts w:ascii="宋体" w:hAnsi="宋体" w:cs="Times New Roman"/>
          <w:sz w:val="24"/>
          <w:szCs w:val="22"/>
        </w:rPr>
        <w:t>IP</w:t>
      </w:r>
      <w:r>
        <w:rPr>
          <w:rFonts w:hint="eastAsia" w:ascii="宋体" w:hAnsi="宋体" w:cs="Times New Roman"/>
          <w:sz w:val="24"/>
          <w:szCs w:val="22"/>
        </w:rPr>
        <w:t>地址范围内开通网络访问。</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3</w:t>
      </w:r>
      <w:r>
        <w:rPr>
          <w:rFonts w:hint="eastAsia" w:ascii="宋体" w:hAnsi="宋体" w:cs="Times New Roman"/>
          <w:sz w:val="24"/>
          <w:szCs w:val="22"/>
        </w:rPr>
        <w:t>）如果我校数据出现丢失、损失等情况，在合同有效期内，网络文献数据库提供商应免费提供数据恢复。</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4</w:t>
      </w:r>
      <w:r>
        <w:rPr>
          <w:rFonts w:hint="eastAsia" w:ascii="宋体" w:hAnsi="宋体" w:cs="Times New Roman"/>
          <w:sz w:val="24"/>
          <w:szCs w:val="22"/>
        </w:rPr>
        <w:t>）应免费为用户提供技术培训。</w:t>
      </w:r>
      <w:r>
        <w:rPr>
          <w:rFonts w:ascii="宋体" w:hAnsi="宋体" w:cs="Times New Roman"/>
          <w:sz w:val="24"/>
          <w:szCs w:val="22"/>
        </w:rPr>
        <w:t xml:space="preserve"> </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5</w:t>
      </w:r>
      <w:r>
        <w:rPr>
          <w:rFonts w:hint="eastAsia" w:ascii="宋体" w:hAnsi="宋体" w:cs="Times New Roman"/>
          <w:sz w:val="24"/>
          <w:szCs w:val="22"/>
        </w:rPr>
        <w:t>）数据库文献资源出现的版权问题由网络数据库供应商负责。</w:t>
      </w:r>
    </w:p>
    <w:p>
      <w:pPr>
        <w:snapToGrid w:val="0"/>
        <w:spacing w:line="360" w:lineRule="auto"/>
        <w:ind w:firstLine="480" w:firstLineChars="200"/>
        <w:rPr>
          <w:rFonts w:ascii="宋体" w:hAnsi="Times New Roman" w:cs="Times New Roman"/>
          <w:sz w:val="24"/>
          <w:szCs w:val="22"/>
        </w:rPr>
      </w:pPr>
      <w:r>
        <w:rPr>
          <w:rFonts w:hint="eastAsia" w:ascii="宋体" w:hAnsi="宋体" w:cs="Times New Roman"/>
          <w:sz w:val="24"/>
          <w:szCs w:val="22"/>
        </w:rPr>
        <w:t>（</w:t>
      </w:r>
      <w:r>
        <w:rPr>
          <w:rFonts w:ascii="宋体" w:hAnsi="宋体" w:cs="Times New Roman"/>
          <w:sz w:val="24"/>
          <w:szCs w:val="22"/>
        </w:rPr>
        <w:t>6</w:t>
      </w:r>
      <w:r>
        <w:rPr>
          <w:rFonts w:hint="eastAsia" w:ascii="宋体" w:hAnsi="宋体" w:cs="Times New Roman"/>
          <w:sz w:val="24"/>
          <w:szCs w:val="22"/>
        </w:rPr>
        <w:t>）具有停订以前所订数据库的永久使用权。</w:t>
      </w:r>
    </w:p>
    <w:p>
      <w:pPr>
        <w:numPr>
          <w:ilvl w:val="0"/>
          <w:numId w:val="15"/>
        </w:numPr>
        <w:snapToGrid w:val="0"/>
        <w:spacing w:line="360" w:lineRule="auto"/>
        <w:ind w:left="425" w:leftChars="0" w:hanging="425" w:firstLineChars="0"/>
        <w:rPr>
          <w:rFonts w:ascii="宋体" w:hAnsi="宋体" w:cs="Times New Roman"/>
          <w:b/>
          <w:sz w:val="24"/>
          <w:szCs w:val="22"/>
          <w:shd w:val="clear" w:color="auto" w:fill="FFFFFF"/>
        </w:rPr>
      </w:pPr>
      <w:r>
        <w:rPr>
          <w:rFonts w:hint="eastAsia" w:ascii="宋体" w:hAnsi="宋体" w:cs="Times New Roman"/>
          <w:b/>
          <w:sz w:val="24"/>
          <w:szCs w:val="22"/>
        </w:rPr>
        <w:t>售后服务要求</w:t>
      </w:r>
    </w:p>
    <w:p>
      <w:pPr>
        <w:snapToGrid w:val="0"/>
        <w:spacing w:line="360" w:lineRule="auto"/>
        <w:ind w:firstLine="480" w:firstLineChars="200"/>
        <w:rPr>
          <w:rFonts w:ascii="宋体" w:hAnsi="宋体" w:cs="Times New Roman"/>
          <w:sz w:val="24"/>
          <w:szCs w:val="22"/>
        </w:rPr>
      </w:pPr>
      <w:r>
        <w:rPr>
          <w:rFonts w:hint="eastAsia" w:ascii="宋体" w:hAnsi="宋体" w:cs="Times New Roman"/>
          <w:sz w:val="24"/>
          <w:szCs w:val="22"/>
        </w:rPr>
        <w:t>（1）要求在本省设有常驻办事机构，有专门的技术服务人员。</w:t>
      </w:r>
    </w:p>
    <w:p>
      <w:pPr>
        <w:snapToGrid w:val="0"/>
        <w:spacing w:line="360" w:lineRule="auto"/>
        <w:ind w:firstLine="480" w:firstLineChars="200"/>
        <w:rPr>
          <w:rFonts w:ascii="宋体" w:hAnsi="宋体" w:cs="Times New Roman"/>
          <w:sz w:val="24"/>
          <w:szCs w:val="22"/>
        </w:rPr>
      </w:pPr>
      <w:r>
        <w:rPr>
          <w:rFonts w:hint="eastAsia" w:ascii="宋体" w:hAnsi="宋体" w:cs="Times New Roman"/>
          <w:sz w:val="24"/>
          <w:szCs w:val="22"/>
        </w:rPr>
        <w:t>（2）电话、邮件、网络响应时间:1小时。</w:t>
      </w:r>
    </w:p>
    <w:p>
      <w:pPr>
        <w:snapToGrid w:val="0"/>
        <w:spacing w:line="360" w:lineRule="auto"/>
        <w:ind w:firstLine="480" w:firstLineChars="200"/>
        <w:rPr>
          <w:rFonts w:ascii="宋体" w:hAnsi="宋体" w:cs="Times New Roman"/>
          <w:sz w:val="24"/>
          <w:szCs w:val="22"/>
        </w:rPr>
      </w:pPr>
      <w:r>
        <w:rPr>
          <w:rFonts w:hint="eastAsia" w:ascii="宋体" w:hAnsi="宋体" w:cs="Times New Roman"/>
          <w:sz w:val="24"/>
          <w:szCs w:val="22"/>
        </w:rPr>
        <w:t>（3）每月通过远程对产品运行状况进行一次全面监测，对系统运行管理状况提供管理建议。</w:t>
      </w:r>
    </w:p>
    <w:p>
      <w:pPr>
        <w:snapToGri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（4）提供产品的紧急备份访问服务，保证用户可持续使用产品。</w:t>
      </w:r>
    </w:p>
    <w:p>
      <w:pPr>
        <w:widowControl w:val="0"/>
        <w:snapToGrid w:val="0"/>
        <w:spacing w:line="336" w:lineRule="auto"/>
        <w:ind w:firstLine="0" w:firstLineChars="0"/>
        <w:jc w:val="both"/>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三、相关要求：</w:t>
      </w:r>
    </w:p>
    <w:p>
      <w:pPr>
        <w:snapToGrid w:val="0"/>
        <w:spacing w:line="336" w:lineRule="auto"/>
        <w:ind w:firstLine="480" w:firstLineChars="200"/>
        <w:rPr>
          <w:rFonts w:ascii="宋体" w:hAnsi="宋体" w:cs="宋体"/>
          <w:kern w:val="0"/>
          <w:sz w:val="24"/>
          <w:szCs w:val="22"/>
        </w:rPr>
      </w:pPr>
      <w:r>
        <w:rPr>
          <w:rFonts w:ascii="宋体" w:hAnsi="宋体" w:cs="宋体"/>
          <w:kern w:val="0"/>
          <w:sz w:val="24"/>
          <w:szCs w:val="22"/>
        </w:rPr>
        <w:t>1</w:t>
      </w:r>
      <w:r>
        <w:rPr>
          <w:rFonts w:hint="eastAsia" w:ascii="宋体" w:hAnsi="宋体" w:cs="宋体"/>
          <w:kern w:val="0"/>
          <w:sz w:val="24"/>
          <w:szCs w:val="22"/>
        </w:rPr>
        <w:t>.付款方式：签订合同，软件安装并能正常访问，验收合格后付清全款。</w:t>
      </w:r>
    </w:p>
    <w:p>
      <w:pPr>
        <w:snapToGrid w:val="0"/>
        <w:spacing w:line="336" w:lineRule="auto"/>
        <w:ind w:firstLine="480" w:firstLineChars="200"/>
        <w:rPr>
          <w:rFonts w:ascii="宋体" w:hAnsi="宋体" w:cs="宋体"/>
          <w:kern w:val="0"/>
          <w:sz w:val="24"/>
          <w:szCs w:val="22"/>
        </w:rPr>
      </w:pPr>
      <w:r>
        <w:rPr>
          <w:rFonts w:ascii="宋体" w:hAnsi="宋体" w:cs="宋体"/>
          <w:kern w:val="0"/>
          <w:sz w:val="24"/>
          <w:szCs w:val="22"/>
        </w:rPr>
        <w:t>2</w:t>
      </w:r>
      <w:r>
        <w:rPr>
          <w:rFonts w:hint="eastAsia" w:ascii="宋体" w:hAnsi="宋体" w:cs="宋体"/>
          <w:kern w:val="0"/>
          <w:sz w:val="24"/>
          <w:szCs w:val="22"/>
        </w:rPr>
        <w:t>.服务要求：</w:t>
      </w:r>
      <w:r>
        <w:rPr>
          <w:rFonts w:hint="eastAsia" w:ascii="宋体" w:hAnsi="宋体" w:cs="Times New Roman"/>
          <w:sz w:val="24"/>
          <w:szCs w:val="22"/>
        </w:rPr>
        <w:t>合同签订后</w:t>
      </w:r>
      <w:r>
        <w:rPr>
          <w:rFonts w:hint="eastAsia" w:ascii="宋体" w:hAnsi="宋体" w:cs="Times New Roman"/>
          <w:sz w:val="24"/>
          <w:szCs w:val="22"/>
          <w:lang w:val="en-US" w:eastAsia="zh-CN"/>
        </w:rPr>
        <w:t>5</w:t>
      </w:r>
      <w:r>
        <w:rPr>
          <w:rFonts w:hint="eastAsia" w:ascii="宋体" w:hAnsi="宋体" w:cs="Times New Roman"/>
          <w:sz w:val="24"/>
          <w:szCs w:val="22"/>
        </w:rPr>
        <w:t>日内完成安装调试，</w:t>
      </w:r>
      <w:bookmarkStart w:id="50" w:name="_Hlk53388088"/>
      <w:r>
        <w:rPr>
          <w:rFonts w:hint="eastAsia" w:ascii="宋体" w:hAnsi="宋体" w:cs="宋体"/>
          <w:kern w:val="0"/>
          <w:sz w:val="24"/>
          <w:szCs w:val="22"/>
        </w:rPr>
        <w:t>本次招标免费服务期限为验收合格之日起1年</w:t>
      </w:r>
      <w:bookmarkEnd w:id="50"/>
      <w:r>
        <w:rPr>
          <w:rFonts w:hint="eastAsia" w:ascii="宋体" w:hAnsi="宋体" w:cs="宋体"/>
          <w:kern w:val="0"/>
          <w:sz w:val="24"/>
          <w:szCs w:val="22"/>
        </w:rPr>
        <w:t>。</w:t>
      </w:r>
    </w:p>
    <w:p>
      <w:pPr>
        <w:snapToGrid w:val="0"/>
        <w:spacing w:line="360" w:lineRule="auto"/>
        <w:ind w:firstLine="480" w:firstLineChars="200"/>
        <w:rPr>
          <w:rFonts w:hint="eastAsia" w:ascii="宋体" w:hAnsi="宋体" w:cs="Times New Roman"/>
          <w:sz w:val="24"/>
          <w:szCs w:val="22"/>
        </w:rPr>
      </w:pPr>
      <w:r>
        <w:rPr>
          <w:rFonts w:ascii="宋体" w:hAnsi="宋体" w:cs="Times New Roman"/>
          <w:sz w:val="24"/>
          <w:szCs w:val="22"/>
        </w:rPr>
        <w:t>3</w:t>
      </w:r>
      <w:r>
        <w:rPr>
          <w:rFonts w:hint="eastAsia" w:ascii="宋体" w:hAnsi="宋体" w:cs="Times New Roman"/>
          <w:sz w:val="24"/>
          <w:szCs w:val="22"/>
        </w:rPr>
        <w:t>.验收：采购人按招标要求进行验收，中标人予以配合。</w:t>
      </w:r>
    </w:p>
    <w:p>
      <w:pPr>
        <w:pStyle w:val="9"/>
      </w:pPr>
    </w:p>
    <w:p>
      <w:pPr>
        <w:rPr>
          <w:sz w:val="24"/>
        </w:rPr>
      </w:pPr>
    </w:p>
    <w:p>
      <w:pPr>
        <w:spacing w:line="360" w:lineRule="auto"/>
        <w:rPr>
          <w:rFonts w:ascii="宋体" w:hAnsi="宋体"/>
          <w:szCs w:val="21"/>
        </w:rPr>
      </w:pPr>
    </w:p>
    <w:p>
      <w:pPr>
        <w:widowControl/>
        <w:jc w:val="left"/>
        <w:rPr>
          <w:rFonts w:ascii="宋体"/>
          <w:kern w:val="0"/>
          <w:sz w:val="24"/>
          <w:szCs w:val="20"/>
        </w:rPr>
      </w:pPr>
      <w:r>
        <w:br w:type="page"/>
      </w:r>
    </w:p>
    <w:bookmarkEnd w:id="47"/>
    <w:p>
      <w:pPr>
        <w:pStyle w:val="3"/>
        <w:numPr>
          <w:ilvl w:val="0"/>
          <w:numId w:val="4"/>
        </w:numPr>
      </w:pPr>
      <w:bookmarkStart w:id="51" w:name="_Toc6847642"/>
      <w:r>
        <w:rPr>
          <w:rFonts w:hint="eastAsia"/>
        </w:rPr>
        <w:t>合同主要条款</w:t>
      </w:r>
      <w:bookmarkEnd w:id="48"/>
      <w:bookmarkEnd w:id="49"/>
      <w:bookmarkEnd w:id="51"/>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一、名称、服务提供商、品牌、数量及金额</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服务提供商、品牌</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：依据服务的保修条款、售后服务条款，谈判文件另有要求的从其约定。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三、服务期：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交付</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、买方无正当理由拒收，买方向卖方偿付合同款总值的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、买方无正当理由逾期付合同款的，买方向卖方每日偿付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3、卖方不能交付的，卖方向买方支付合同款总值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4、卖方逾期交付的，卖方向买方每日偿付合同款总值的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widowControl/>
        <w:jc w:val="left"/>
      </w:pPr>
      <w:r>
        <w:rPr>
          <w:rFonts w:hint="eastAsia" w:ascii="宋体" w:hAnsi="宋体" w:cs="宋体"/>
          <w:szCs w:val="21"/>
          <w:lang w:val="en-GB"/>
        </w:rPr>
        <w:t xml:space="preserve">年   月    日                年   月    日    </w:t>
      </w:r>
      <w:r>
        <w:br w:type="page"/>
      </w:r>
    </w:p>
    <w:p>
      <w:pPr>
        <w:pStyle w:val="3"/>
        <w:numPr>
          <w:ilvl w:val="0"/>
          <w:numId w:val="4"/>
        </w:numPr>
      </w:pPr>
      <w:bookmarkStart w:id="52" w:name="_Toc6847643"/>
      <w:bookmarkStart w:id="53" w:name="_Toc399143414"/>
      <w:bookmarkStart w:id="54" w:name="_Toc398819319"/>
      <w:r>
        <w:rPr>
          <w:rFonts w:hint="eastAsia"/>
        </w:rPr>
        <w:t>谈判响应文件格式</w:t>
      </w:r>
      <w:bookmarkEnd w:id="52"/>
      <w:bookmarkEnd w:id="53"/>
      <w:bookmarkEnd w:id="54"/>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sz w:val="24"/>
        </w:rPr>
      </w:pPr>
      <w:r>
        <w:rPr>
          <w:rFonts w:ascii="宋体" w:hAnsi="宋体"/>
          <w:sz w:val="24"/>
        </w:rPr>
        <w:br w:type="page"/>
      </w: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二、服务报价表（首轮）、最终报价表</w:t>
      </w:r>
    </w:p>
    <w:p>
      <w:pPr>
        <w:spacing w:line="480" w:lineRule="auto"/>
        <w:ind w:firstLine="480" w:firstLineChars="200"/>
        <w:rPr>
          <w:rFonts w:ascii="宋体" w:hAnsi="宋体"/>
          <w:sz w:val="24"/>
        </w:rPr>
      </w:pPr>
      <w:r>
        <w:rPr>
          <w:rFonts w:hint="eastAsia" w:ascii="宋体" w:hAnsi="宋体"/>
          <w:sz w:val="24"/>
        </w:rPr>
        <w:t>三、</w:t>
      </w:r>
      <w:r>
        <w:rPr>
          <w:rFonts w:hint="eastAsia" w:ascii="宋体" w:hAnsi="宋体" w:cs="宋体"/>
          <w:color w:val="000000"/>
          <w:sz w:val="24"/>
        </w:rPr>
        <w:t>服务内容及质量要求响应表</w:t>
      </w:r>
    </w:p>
    <w:p>
      <w:pPr>
        <w:spacing w:line="480" w:lineRule="auto"/>
        <w:ind w:firstLine="480" w:firstLineChars="200"/>
        <w:rPr>
          <w:rFonts w:ascii="宋体" w:hAnsi="宋体"/>
          <w:sz w:val="24"/>
        </w:rPr>
      </w:pPr>
      <w:r>
        <w:rPr>
          <w:rFonts w:hint="eastAsia" w:ascii="宋体" w:hAnsi="宋体"/>
          <w:sz w:val="24"/>
        </w:rPr>
        <w:t>四、服务方案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widowControl/>
        <w:jc w:val="left"/>
        <w:rPr>
          <w:rFonts w:ascii="宋体" w:hAnsi="宋体"/>
          <w:sz w:val="24"/>
        </w:rPr>
      </w:pPr>
      <w:r>
        <w:rPr>
          <w:rFonts w:ascii="宋体" w:hAnsi="宋体"/>
          <w:sz w:val="24"/>
        </w:rPr>
        <w:br w:type="page"/>
      </w:r>
    </w:p>
    <w:p>
      <w:pPr>
        <w:pStyle w:val="5"/>
        <w:jc w:val="center"/>
      </w:pPr>
      <w:bookmarkStart w:id="55" w:name="_Toc13905"/>
      <w:bookmarkStart w:id="56" w:name="_Toc6847644"/>
      <w:r>
        <w:rPr>
          <w:rFonts w:hint="eastAsia"/>
        </w:rPr>
        <w:t>一、</w:t>
      </w:r>
      <w:bookmarkEnd w:id="55"/>
      <w:r>
        <w:rPr>
          <w:rFonts w:hint="eastAsia"/>
        </w:rPr>
        <w:t>谈判响应函</w:t>
      </w:r>
      <w:bookmarkEnd w:id="56"/>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u w:val="single"/>
        </w:rPr>
        <w:t>安庆职业技术学院</w:t>
      </w:r>
    </w:p>
    <w:p>
      <w:pPr>
        <w:pStyle w:val="12"/>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lang w:eastAsia="zh-CN"/>
        </w:rPr>
        <w:t>安庆职业技术学院2022年数字资源采购(中国知网CNKI数据库）项目</w:t>
      </w:r>
      <w:r>
        <w:rPr>
          <w:rFonts w:hint="eastAsia" w:hAnsi="宋体"/>
          <w:szCs w:val="21"/>
        </w:rPr>
        <w:t>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（谈判响应人的名称）全权处理本项目谈判的有关事宜。</w:t>
      </w:r>
    </w:p>
    <w:p>
      <w:pPr>
        <w:pStyle w:val="12"/>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2"/>
        <w:tabs>
          <w:tab w:val="left" w:pos="5580"/>
        </w:tabs>
        <w:spacing w:line="360" w:lineRule="auto"/>
        <w:ind w:firstLine="420" w:firstLineChars="200"/>
        <w:rPr>
          <w:rFonts w:hint="eastAsia" w:hAnsi="宋体"/>
          <w:szCs w:val="21"/>
          <w:u w:val="single"/>
        </w:rPr>
      </w:pPr>
      <w:r>
        <w:rPr>
          <w:rFonts w:hint="eastAsia" w:hAnsi="宋体"/>
          <w:szCs w:val="21"/>
        </w:rPr>
        <w:t>3、一旦我方成交，我方将严格履行合同约定的责任和义务，保证本项目的服务期为</w:t>
      </w:r>
      <w:r>
        <w:rPr>
          <w:rFonts w:hint="eastAsia" w:hAnsi="宋体"/>
          <w:szCs w:val="21"/>
          <w:u w:val="single"/>
        </w:rPr>
        <w:t>合同签订后</w:t>
      </w:r>
    </w:p>
    <w:p>
      <w:pPr>
        <w:pStyle w:val="12"/>
        <w:tabs>
          <w:tab w:val="left" w:pos="5580"/>
        </w:tabs>
        <w:spacing w:line="360" w:lineRule="auto"/>
        <w:rPr>
          <w:rFonts w:hAnsi="宋体"/>
          <w:szCs w:val="21"/>
        </w:rPr>
      </w:pPr>
      <w:r>
        <w:rPr>
          <w:rFonts w:hint="eastAsia" w:hAnsi="宋体"/>
          <w:szCs w:val="21"/>
          <w:u w:val="single"/>
        </w:rPr>
        <w:t xml:space="preserve">     日内完成调试，免费服务期限为验收合格之日起</w:t>
      </w:r>
      <w:r>
        <w:rPr>
          <w:rFonts w:hint="eastAsia" w:hAnsi="宋体"/>
          <w:szCs w:val="21"/>
          <w:u w:val="single"/>
          <w:lang w:val="en-US" w:eastAsia="zh-CN"/>
        </w:rPr>
        <w:t xml:space="preserve">   </w:t>
      </w:r>
      <w:r>
        <w:rPr>
          <w:rFonts w:hint="eastAsia" w:hAnsi="宋体"/>
          <w:szCs w:val="21"/>
          <w:u w:val="single"/>
        </w:rPr>
        <w:t>年。</w:t>
      </w:r>
    </w:p>
    <w:p>
      <w:pPr>
        <w:pStyle w:val="12"/>
        <w:tabs>
          <w:tab w:val="left" w:pos="5580"/>
        </w:tabs>
        <w:spacing w:line="360" w:lineRule="auto"/>
        <w:ind w:firstLine="394" w:firstLineChars="199"/>
        <w:rPr>
          <w:rFonts w:hAnsi="宋体"/>
          <w:szCs w:val="21"/>
        </w:rPr>
      </w:pPr>
      <w:r>
        <w:rPr>
          <w:rFonts w:hint="eastAsia" w:hAnsi="宋体"/>
          <w:spacing w:val="-6"/>
          <w:szCs w:val="21"/>
        </w:rPr>
        <w:t>4、</w:t>
      </w:r>
      <w:r>
        <w:rPr>
          <w:rFonts w:hint="eastAsia" w:hAnsi="宋体"/>
          <w:szCs w:val="21"/>
        </w:rPr>
        <w:t>我方保证按照本项目谈判文件要求提交谈判响应文件。</w:t>
      </w:r>
    </w:p>
    <w:p>
      <w:pPr>
        <w:pStyle w:val="12"/>
        <w:tabs>
          <w:tab w:val="left" w:pos="5580"/>
        </w:tabs>
        <w:spacing w:line="360" w:lineRule="auto"/>
        <w:ind w:firstLine="417" w:firstLineChars="199"/>
        <w:rPr>
          <w:rFonts w:hAnsi="宋体"/>
          <w:szCs w:val="21"/>
        </w:rPr>
      </w:pPr>
      <w:r>
        <w:rPr>
          <w:rFonts w:hint="eastAsia" w:hAnsi="宋体"/>
          <w:szCs w:val="21"/>
        </w:rPr>
        <w:t>5、我方愿意提供贵方可能另外要求的、与谈判有关的文件资料，并保证我方已提供和将要提供的文件是真实的、准确的。</w:t>
      </w:r>
    </w:p>
    <w:p>
      <w:pPr>
        <w:pStyle w:val="12"/>
        <w:tabs>
          <w:tab w:val="left" w:pos="5580"/>
        </w:tabs>
        <w:spacing w:line="360" w:lineRule="auto"/>
        <w:ind w:firstLine="417" w:firstLineChars="199"/>
        <w:rPr>
          <w:rFonts w:hAnsi="宋体"/>
          <w:szCs w:val="21"/>
        </w:rPr>
      </w:pPr>
      <w:r>
        <w:rPr>
          <w:rFonts w:hint="eastAsia" w:hAnsi="宋体"/>
          <w:szCs w:val="21"/>
        </w:rPr>
        <w:t>6、我方完全理解贵方不一定将合同授予报价低于谈判最高限价的谈判响应人。</w:t>
      </w:r>
    </w:p>
    <w:p>
      <w:pPr>
        <w:pStyle w:val="12"/>
        <w:tabs>
          <w:tab w:val="left" w:pos="5580"/>
        </w:tabs>
        <w:spacing w:line="360" w:lineRule="auto"/>
        <w:ind w:firstLine="417" w:firstLineChars="199"/>
        <w:rPr>
          <w:rFonts w:hAnsi="宋体"/>
          <w:szCs w:val="21"/>
        </w:rPr>
      </w:pPr>
    </w:p>
    <w:p>
      <w:pPr>
        <w:pStyle w:val="12"/>
        <w:tabs>
          <w:tab w:val="left" w:pos="5580"/>
        </w:tabs>
        <w:spacing w:line="360" w:lineRule="auto"/>
        <w:ind w:firstLine="367" w:firstLineChars="175"/>
        <w:rPr>
          <w:rFonts w:hAnsi="宋体"/>
          <w:szCs w:val="21"/>
        </w:rPr>
      </w:pPr>
    </w:p>
    <w:p>
      <w:pPr>
        <w:pStyle w:val="12"/>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2"/>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2"/>
        <w:tabs>
          <w:tab w:val="left" w:pos="5580"/>
        </w:tabs>
        <w:spacing w:line="360" w:lineRule="auto"/>
        <w:ind w:firstLine="420" w:firstLineChars="200"/>
        <w:rPr>
          <w:rFonts w:hAnsi="宋体" w:cs="宋体"/>
          <w:szCs w:val="21"/>
          <w:u w:val="single"/>
        </w:rPr>
      </w:pPr>
      <w:r>
        <w:rPr>
          <w:rFonts w:hint="eastAsia" w:hAnsi="宋体"/>
          <w:szCs w:val="21"/>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3570" w:firstLineChars="1700"/>
        <w:rPr>
          <w:rFonts w:hAnsi="宋体"/>
          <w:szCs w:val="21"/>
        </w:rPr>
      </w:pPr>
      <w:r>
        <w:rPr>
          <w:rFonts w:hint="eastAsia" w:hAnsi="宋体"/>
          <w:szCs w:val="21"/>
        </w:rPr>
        <w:t>日期：          年      月      日</w:t>
      </w:r>
    </w:p>
    <w:p>
      <w:pPr>
        <w:widowControl/>
        <w:jc w:val="left"/>
        <w:rPr>
          <w:rFonts w:ascii="宋体" w:hAnsi="宋体"/>
          <w:sz w:val="24"/>
        </w:rPr>
      </w:pPr>
      <w:r>
        <w:rPr>
          <w:rFonts w:ascii="宋体" w:hAnsi="宋体"/>
          <w:sz w:val="24"/>
        </w:rPr>
        <w:br w:type="page"/>
      </w:r>
    </w:p>
    <w:p>
      <w:pPr>
        <w:pStyle w:val="5"/>
        <w:jc w:val="center"/>
      </w:pPr>
      <w:bookmarkStart w:id="57" w:name="_Toc12161"/>
      <w:bookmarkStart w:id="58" w:name="_Toc6847645"/>
      <w:r>
        <w:rPr>
          <w:rFonts w:hint="eastAsia"/>
        </w:rPr>
        <w:t>二、服务报价表</w:t>
      </w:r>
      <w:bookmarkEnd w:id="57"/>
      <w:r>
        <w:rPr>
          <w:rFonts w:hint="eastAsia"/>
        </w:rPr>
        <w:t>（首轮）</w:t>
      </w:r>
      <w:bookmarkEnd w:id="58"/>
    </w:p>
    <w:p>
      <w:pPr>
        <w:spacing w:line="360" w:lineRule="auto"/>
        <w:rPr>
          <w:rFonts w:ascii="宋体" w:hAnsi="宋体"/>
          <w:szCs w:val="21"/>
        </w:rPr>
      </w:pPr>
      <w:r>
        <w:rPr>
          <w:rFonts w:hint="eastAsia" w:ascii="宋体" w:hAnsi="宋体"/>
          <w:szCs w:val="21"/>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服务名称</w:t>
            </w:r>
          </w:p>
        </w:tc>
        <w:tc>
          <w:tcPr>
            <w:tcW w:w="2395" w:type="dxa"/>
            <w:vAlign w:val="center"/>
          </w:tcPr>
          <w:p>
            <w:pPr>
              <w:spacing w:line="360" w:lineRule="auto"/>
              <w:jc w:val="center"/>
              <w:rPr>
                <w:rFonts w:ascii="宋体" w:hAnsi="宋体"/>
                <w:szCs w:val="21"/>
              </w:rPr>
            </w:pPr>
            <w:r>
              <w:rPr>
                <w:rFonts w:hint="eastAsia" w:ascii="宋体" w:hAnsi="宋体"/>
                <w:szCs w:val="21"/>
              </w:rPr>
              <w:t>服务内容</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           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szCs w:val="21"/>
        </w:rPr>
      </w:pPr>
      <w:r>
        <w:rPr>
          <w:szCs w:val="21"/>
        </w:rPr>
        <w:br w:type="page"/>
      </w: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服务期</w:t>
            </w:r>
          </w:p>
        </w:tc>
        <w:tc>
          <w:tcPr>
            <w:tcW w:w="8167" w:type="dxa"/>
            <w:tcBorders>
              <w:top w:val="single" w:color="auto" w:sz="4" w:space="0"/>
              <w:left w:val="single" w:color="auto" w:sz="4" w:space="0"/>
              <w:bottom w:val="single" w:color="auto" w:sz="4" w:space="0"/>
              <w:right w:val="single" w:color="auto" w:sz="4" w:space="0"/>
            </w:tcBorders>
            <w:vAlign w:val="center"/>
          </w:tcPr>
          <w:p>
            <w:pPr>
              <w:pStyle w:val="12"/>
              <w:tabs>
                <w:tab w:val="left" w:pos="5580"/>
              </w:tabs>
              <w:spacing w:line="360" w:lineRule="auto"/>
              <w:rPr>
                <w:rFonts w:hAnsi="宋体"/>
                <w:color w:val="0000FF"/>
                <w:sz w:val="24"/>
              </w:rPr>
            </w:pPr>
            <w:r>
              <w:rPr>
                <w:rFonts w:hint="eastAsia" w:hAnsi="宋体"/>
                <w:szCs w:val="21"/>
                <w:u w:val="none"/>
              </w:rPr>
              <w:t>合同签订后</w:t>
            </w:r>
            <w:r>
              <w:rPr>
                <w:rFonts w:hint="eastAsia" w:hAnsi="宋体"/>
                <w:szCs w:val="21"/>
                <w:u w:val="none"/>
                <w:lang w:val="en-US" w:eastAsia="zh-CN"/>
              </w:rPr>
              <w:t xml:space="preserve"> </w:t>
            </w:r>
            <w:r>
              <w:rPr>
                <w:rFonts w:hint="eastAsia" w:hAnsi="宋体"/>
                <w:szCs w:val="21"/>
                <w:u w:val="single"/>
                <w:lang w:val="en-US" w:eastAsia="zh-CN"/>
              </w:rPr>
              <w:t xml:space="preserve">   </w:t>
            </w:r>
            <w:r>
              <w:rPr>
                <w:rFonts w:hint="eastAsia" w:hAnsi="宋体"/>
                <w:szCs w:val="21"/>
                <w:u w:val="none"/>
                <w:lang w:val="en-US" w:eastAsia="zh-CN"/>
              </w:rPr>
              <w:t xml:space="preserve"> </w:t>
            </w:r>
            <w:r>
              <w:rPr>
                <w:rFonts w:hint="eastAsia" w:hAnsi="宋体"/>
                <w:szCs w:val="21"/>
                <w:u w:val="none"/>
              </w:rPr>
              <w:t>日内完成调试，免费服务期限为验收合格之日起</w:t>
            </w:r>
            <w:r>
              <w:rPr>
                <w:rFonts w:hint="eastAsia" w:hAnsi="宋体"/>
                <w:szCs w:val="21"/>
                <w:u w:val="single"/>
                <w:lang w:val="en-US" w:eastAsia="zh-CN"/>
              </w:rPr>
              <w:t xml:space="preserve">    </w:t>
            </w:r>
            <w:r>
              <w:rPr>
                <w:rFonts w:hint="eastAsia" w:hAnsi="宋体"/>
                <w:szCs w:val="21"/>
                <w:u w:val="none"/>
                <w:lang w:val="en-US" w:eastAsia="zh-CN"/>
              </w:rPr>
              <w:t xml:space="preserve"> </w:t>
            </w:r>
            <w:r>
              <w:rPr>
                <w:rFonts w:hint="eastAsia" w:hAnsi="宋体"/>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rPr>
          <w:rFonts w:ascii="宋体" w:hAnsi="宋体"/>
          <w:b/>
          <w:sz w:val="24"/>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rFonts w:ascii="宋体" w:hAnsi="宋体"/>
          <w:szCs w:val="21"/>
        </w:rPr>
      </w:pPr>
      <w:r>
        <w:rPr>
          <w:rFonts w:ascii="宋体" w:hAnsi="宋体"/>
          <w:szCs w:val="21"/>
        </w:rPr>
        <w:br w:type="page"/>
      </w:r>
    </w:p>
    <w:p>
      <w:pPr>
        <w:pStyle w:val="5"/>
        <w:jc w:val="center"/>
      </w:pPr>
      <w:bookmarkStart w:id="59" w:name="_Toc28153"/>
      <w:bookmarkStart w:id="60" w:name="_Toc6847646"/>
      <w:r>
        <w:rPr>
          <w:rFonts w:hint="eastAsia"/>
        </w:rPr>
        <w:t>三、</w:t>
      </w:r>
      <w:bookmarkEnd w:id="59"/>
      <w:r>
        <w:rPr>
          <w:rFonts w:hint="eastAsia" w:hAnsi="宋体" w:cs="宋体"/>
          <w:color w:val="000000"/>
        </w:rPr>
        <w:t>服务内容及质量要求响应表</w:t>
      </w:r>
      <w:bookmarkEnd w:id="60"/>
    </w:p>
    <w:p>
      <w:pPr>
        <w:spacing w:line="360" w:lineRule="auto"/>
        <w:rPr>
          <w:rFonts w:ascii="宋体" w:hAnsi="宋体"/>
          <w:b/>
          <w:szCs w:val="21"/>
        </w:rPr>
      </w:pPr>
      <w:r>
        <w:rPr>
          <w:rFonts w:hint="eastAsia" w:ascii="宋体" w:hAnsi="宋体"/>
          <w:szCs w:val="21"/>
        </w:rPr>
        <w:t>项目名称：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59" w:type="dxa"/>
            <w:vAlign w:val="center"/>
          </w:tcPr>
          <w:p>
            <w:pPr>
              <w:spacing w:line="360" w:lineRule="auto"/>
              <w:jc w:val="center"/>
              <w:rPr>
                <w:rFonts w:ascii="宋体" w:hAnsi="宋体"/>
                <w:szCs w:val="21"/>
              </w:rPr>
            </w:pPr>
            <w:r>
              <w:rPr>
                <w:rFonts w:hint="eastAsia" w:ascii="宋体" w:hAnsi="宋体"/>
                <w:szCs w:val="21"/>
              </w:rPr>
              <w:t>序号</w:t>
            </w:r>
          </w:p>
        </w:tc>
        <w:tc>
          <w:tcPr>
            <w:tcW w:w="2126" w:type="dxa"/>
            <w:vAlign w:val="center"/>
          </w:tcPr>
          <w:p>
            <w:pPr>
              <w:spacing w:line="360" w:lineRule="auto"/>
              <w:jc w:val="center"/>
              <w:rPr>
                <w:rFonts w:ascii="宋体" w:hAnsi="宋体"/>
                <w:szCs w:val="21"/>
              </w:rPr>
            </w:pPr>
            <w:r>
              <w:rPr>
                <w:rFonts w:hint="eastAsia" w:ascii="宋体" w:hAnsi="宋体"/>
                <w:szCs w:val="21"/>
              </w:rPr>
              <w:t>服务名称</w:t>
            </w:r>
          </w:p>
        </w:tc>
        <w:tc>
          <w:tcPr>
            <w:tcW w:w="3827" w:type="dxa"/>
            <w:vAlign w:val="center"/>
          </w:tcPr>
          <w:p>
            <w:pPr>
              <w:spacing w:line="360" w:lineRule="auto"/>
              <w:jc w:val="center"/>
              <w:rPr>
                <w:rFonts w:ascii="宋体" w:hAnsi="宋体"/>
                <w:szCs w:val="21"/>
              </w:rPr>
            </w:pPr>
            <w:r>
              <w:rPr>
                <w:rFonts w:hint="eastAsia" w:ascii="宋体" w:hAnsi="宋体"/>
                <w:szCs w:val="21"/>
              </w:rPr>
              <w:t>谈判响应服务内容及质量要求</w:t>
            </w:r>
          </w:p>
        </w:tc>
        <w:tc>
          <w:tcPr>
            <w:tcW w:w="2127" w:type="dxa"/>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服务需求及技术要求</w:t>
      </w:r>
      <w:r>
        <w:rPr>
          <w:rFonts w:ascii="宋体" w:hAnsi="宋体" w:cs="Arial"/>
          <w:szCs w:val="21"/>
        </w:rPr>
        <w:t>”的差异情况，实事求是地填写“响应情况”（优于、满足、不满足） 。</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rFonts w:ascii="宋体" w:hAnsi="宋体"/>
          <w:b/>
          <w:szCs w:val="21"/>
        </w:rPr>
      </w:pPr>
      <w:r>
        <w:rPr>
          <w:rFonts w:ascii="宋体" w:hAnsi="宋体"/>
          <w:b/>
          <w:szCs w:val="21"/>
        </w:rPr>
        <w:br w:type="page"/>
      </w:r>
    </w:p>
    <w:p>
      <w:pPr>
        <w:pStyle w:val="5"/>
        <w:jc w:val="center"/>
        <w:rPr>
          <w:bdr w:val="single" w:color="auto" w:sz="4" w:space="0"/>
        </w:rPr>
      </w:pPr>
      <w:bookmarkStart w:id="61" w:name="_Toc2920"/>
      <w:bookmarkStart w:id="62" w:name="_Toc6847647"/>
      <w:r>
        <w:rPr>
          <w:rFonts w:hint="eastAsia"/>
        </w:rPr>
        <w:t>四、服务方案</w:t>
      </w:r>
      <w:bookmarkEnd w:id="61"/>
      <w:bookmarkEnd w:id="62"/>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谈判响应人依据第三章“服务需求及技术要求”自行提供。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3、质量保证及售后服务承诺</w:t>
      </w:r>
    </w:p>
    <w:p>
      <w:pPr>
        <w:spacing w:line="360" w:lineRule="auto"/>
        <w:ind w:firstLine="420" w:firstLineChars="200"/>
        <w:rPr>
          <w:rFonts w:ascii="宋体" w:hAnsi="宋体"/>
          <w:szCs w:val="21"/>
        </w:rPr>
      </w:pPr>
      <w:r>
        <w:rPr>
          <w:rFonts w:hint="eastAsia" w:ascii="宋体" w:hAnsi="宋体"/>
          <w:szCs w:val="21"/>
        </w:rPr>
        <w:t>4、谈判响应人认为需要提供的其他内容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5"/>
        <w:jc w:val="center"/>
      </w:pPr>
      <w:bookmarkStart w:id="63" w:name="_Toc6847648"/>
      <w:bookmarkStart w:id="64" w:name="_Toc25547"/>
      <w:r>
        <w:rPr>
          <w:rFonts w:hint="eastAsia"/>
        </w:rPr>
        <w:t>五、诚信谈判响应承诺书</w:t>
      </w:r>
      <w:bookmarkEnd w:id="63"/>
      <w:bookmarkEnd w:id="64"/>
    </w:p>
    <w:p>
      <w:pPr>
        <w:rPr>
          <w:rFonts w:ascii="仿宋" w:hAnsi="仿宋" w:eastAsia="仿宋" w:cs="仿宋"/>
          <w:b/>
          <w:bCs/>
          <w:sz w:val="24"/>
        </w:rPr>
      </w:pPr>
    </w:p>
    <w:p>
      <w:pPr>
        <w:spacing w:line="288" w:lineRule="auto"/>
        <w:ind w:firstLine="482" w:firstLineChars="200"/>
        <w:rPr>
          <w:rFonts w:ascii="仿宋" w:hAnsi="仿宋" w:eastAsia="仿宋" w:cs="仿宋"/>
          <w:b/>
          <w:bCs/>
          <w:sz w:val="24"/>
        </w:rPr>
      </w:pPr>
      <w:bookmarkStart w:id="65" w:name="_Toc22272"/>
      <w:bookmarkStart w:id="66" w:name="_Toc6847649"/>
      <w:r>
        <w:rPr>
          <w:rFonts w:hint="eastAsia" w:ascii="仿宋" w:hAnsi="仿宋" w:eastAsia="仿宋" w:cs="仿宋"/>
          <w:b/>
          <w:bCs/>
          <w:sz w:val="24"/>
        </w:rPr>
        <w:t>本人以企业法定代表人的身份郑重承诺：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十、我单位在安徽省公共资源交易市场主体库中录入的信息真实，无编造虚假信息。一旦发现弄虚作假将按《诚信谈判响应承诺书》和有关法律法规中的规定接受处理。</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十一、如在谈判过程和谈判结果</w:t>
      </w:r>
      <w:r>
        <w:rPr>
          <w:rFonts w:hint="eastAsia" w:ascii="仿宋" w:hAnsi="仿宋" w:eastAsia="仿宋" w:cs="仿宋"/>
          <w:b/>
          <w:sz w:val="24"/>
        </w:rPr>
        <w:t>公告质疑期内</w:t>
      </w:r>
      <w:r>
        <w:rPr>
          <w:rFonts w:hint="eastAsia" w:ascii="仿宋" w:hAnsi="仿宋" w:eastAsia="仿宋" w:cs="仿宋"/>
          <w:b/>
          <w:bCs/>
          <w:sz w:val="24"/>
        </w:rPr>
        <w:t xml:space="preserve">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十二、我方保证对本次招标活动有任何质疑或投诉，都依法在规定的时间内提出。否则，不针对本次谈判活动提出任何质疑或投诉。</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ind w:firstLine="4337" w:firstLineChars="1800"/>
        <w:rPr>
          <w:rFonts w:ascii="仿宋" w:hAnsi="仿宋" w:eastAsia="仿宋" w:cs="仿宋"/>
          <w:b/>
          <w:bCs/>
          <w:sz w:val="24"/>
        </w:rPr>
      </w:pPr>
      <w:r>
        <w:rPr>
          <w:rFonts w:hint="eastAsia" w:ascii="仿宋" w:hAnsi="仿宋" w:eastAsia="仿宋" w:cs="仿宋"/>
          <w:b/>
          <w:bCs/>
          <w:sz w:val="24"/>
        </w:rPr>
        <w:t>谈判响应人名称（公章）：________________</w:t>
      </w:r>
    </w:p>
    <w:p>
      <w:pPr>
        <w:spacing w:line="288" w:lineRule="auto"/>
        <w:rPr>
          <w:rFonts w:ascii="仿宋" w:hAnsi="仿宋" w:eastAsia="仿宋" w:cs="仿宋"/>
          <w:b/>
          <w:bCs/>
          <w:sz w:val="24"/>
        </w:rPr>
      </w:pPr>
    </w:p>
    <w:p>
      <w:pPr>
        <w:spacing w:line="288" w:lineRule="auto"/>
        <w:ind w:left="4910" w:leftChars="2166" w:hanging="361" w:hangingChars="150"/>
        <w:rPr>
          <w:rFonts w:hint="eastAsia" w:ascii="仿宋" w:hAnsi="仿宋" w:eastAsia="仿宋" w:cs="仿宋"/>
          <w:b/>
          <w:bCs/>
          <w:sz w:val="24"/>
        </w:rPr>
      </w:pPr>
      <w:r>
        <w:rPr>
          <w:rFonts w:hint="eastAsia" w:ascii="仿宋" w:hAnsi="仿宋" w:eastAsia="仿宋" w:cs="仿宋"/>
          <w:b/>
          <w:bCs/>
          <w:sz w:val="24"/>
        </w:rPr>
        <w:t xml:space="preserve">法定代表人（盖章）：_________________   </w:t>
      </w:r>
    </w:p>
    <w:p>
      <w:pPr>
        <w:spacing w:line="288" w:lineRule="auto"/>
        <w:ind w:left="4910" w:leftChars="2166" w:hanging="361" w:hangingChars="150"/>
        <w:rPr>
          <w:rFonts w:hint="eastAsia" w:ascii="仿宋" w:hAnsi="仿宋" w:eastAsia="仿宋" w:cs="仿宋"/>
          <w:b/>
          <w:bCs/>
          <w:sz w:val="24"/>
        </w:rPr>
      </w:pPr>
    </w:p>
    <w:p>
      <w:pPr>
        <w:spacing w:line="288" w:lineRule="auto"/>
        <w:ind w:left="5027" w:leftChars="2394" w:firstLine="1084" w:firstLineChars="450"/>
        <w:rPr>
          <w:rFonts w:hint="eastAsia" w:ascii="仿宋" w:hAnsi="仿宋" w:eastAsia="仿宋" w:cs="仿宋"/>
          <w:b/>
          <w:bCs/>
          <w:sz w:val="24"/>
        </w:rPr>
      </w:pPr>
      <w:r>
        <w:rPr>
          <w:rFonts w:hint="eastAsia" w:ascii="仿宋" w:hAnsi="仿宋" w:eastAsia="仿宋" w:cs="仿宋"/>
          <w:b/>
          <w:bCs/>
          <w:sz w:val="24"/>
        </w:rPr>
        <w:t>日期：_____年____月____日</w:t>
      </w:r>
    </w:p>
    <w:p>
      <w:pPr>
        <w:pStyle w:val="5"/>
        <w:jc w:val="center"/>
        <w:rPr>
          <w:rFonts w:hint="eastAsia" w:ascii="仿宋" w:hAnsi="仿宋" w:eastAsia="仿宋" w:cs="仿宋"/>
          <w:b/>
          <w:bCs/>
          <w:sz w:val="24"/>
        </w:rPr>
      </w:pPr>
    </w:p>
    <w:p>
      <w:pPr>
        <w:pStyle w:val="5"/>
        <w:jc w:val="center"/>
        <w:rPr>
          <w:rFonts w:hint="eastAsia" w:ascii="仿宋" w:hAnsi="仿宋" w:eastAsia="仿宋" w:cs="仿宋"/>
          <w:b/>
          <w:bCs/>
          <w:sz w:val="24"/>
        </w:rPr>
      </w:pPr>
    </w:p>
    <w:p>
      <w:pPr>
        <w:pStyle w:val="6"/>
        <w:rPr>
          <w:rFonts w:hint="eastAsia"/>
        </w:rPr>
      </w:pPr>
    </w:p>
    <w:p>
      <w:pPr>
        <w:pStyle w:val="5"/>
        <w:jc w:val="center"/>
        <w:rPr>
          <w:rFonts w:hint="eastAsia" w:ascii="仿宋" w:hAnsi="仿宋" w:eastAsia="仿宋" w:cs="仿宋"/>
          <w:b/>
          <w:bCs/>
          <w:sz w:val="24"/>
        </w:rPr>
      </w:pPr>
    </w:p>
    <w:p>
      <w:pPr>
        <w:pStyle w:val="5"/>
        <w:jc w:val="center"/>
        <w:rPr>
          <w:bdr w:val="single" w:color="auto" w:sz="4" w:space="0"/>
        </w:rPr>
      </w:pPr>
      <w:r>
        <w:rPr>
          <w:rFonts w:hint="eastAsia"/>
        </w:rPr>
        <w:t>六、资格证明文件</w:t>
      </w:r>
      <w:bookmarkEnd w:id="65"/>
      <w:bookmarkEnd w:id="66"/>
    </w:p>
    <w:p>
      <w:pPr>
        <w:spacing w:line="360" w:lineRule="auto"/>
        <w:ind w:firstLine="420" w:firstLineChars="200"/>
        <w:rPr>
          <w:rFonts w:ascii="宋体" w:hAnsi="宋体" w:cs="Times New Roman"/>
          <w:szCs w:val="21"/>
        </w:rPr>
      </w:pPr>
      <w:r>
        <w:rPr>
          <w:rFonts w:hint="eastAsia" w:ascii="宋体" w:hAnsi="宋体" w:cs="Times New Roman"/>
          <w:szCs w:val="21"/>
        </w:rPr>
        <w:t>1、营业执照。</w:t>
      </w:r>
    </w:p>
    <w:p>
      <w:pPr>
        <w:spacing w:line="360" w:lineRule="auto"/>
        <w:ind w:firstLine="420" w:firstLineChars="200"/>
        <w:rPr>
          <w:rFonts w:ascii="宋体" w:hAnsi="宋体" w:cs="Times New Roman"/>
          <w:szCs w:val="21"/>
        </w:rPr>
      </w:pPr>
      <w:r>
        <w:rPr>
          <w:rFonts w:hint="eastAsia" w:ascii="宋体" w:hAnsi="宋体" w:cs="Times New Roman"/>
          <w:szCs w:val="21"/>
        </w:rPr>
        <w:t>2、税务登记证。（如为三证合一的，只需提供三证合一的营业执照）</w:t>
      </w:r>
    </w:p>
    <w:p>
      <w:pPr>
        <w:spacing w:line="360" w:lineRule="auto"/>
        <w:ind w:left="422"/>
        <w:rPr>
          <w:rFonts w:ascii="宋体" w:hAnsi="宋体" w:cs="Times New Roman"/>
          <w:szCs w:val="21"/>
          <w:highlight w:val="yellow"/>
        </w:rPr>
      </w:pPr>
      <w:r>
        <w:rPr>
          <w:rFonts w:hint="eastAsia" w:ascii="宋体" w:hAnsi="宋体" w:cs="Times New Roman"/>
          <w:szCs w:val="21"/>
          <w:highlight w:val="yellow"/>
        </w:rPr>
        <w:t>3、供应商声明函：</w:t>
      </w:r>
    </w:p>
    <w:p>
      <w:pPr>
        <w:spacing w:line="360" w:lineRule="auto"/>
        <w:ind w:left="422"/>
        <w:jc w:val="center"/>
        <w:rPr>
          <w:rFonts w:ascii="宋体" w:hAnsi="宋体" w:cs="Times New Roman"/>
          <w:b/>
          <w:bCs/>
          <w:szCs w:val="21"/>
        </w:rPr>
      </w:pPr>
      <w:r>
        <w:rPr>
          <w:rFonts w:hint="eastAsia" w:ascii="宋体" w:hAnsi="宋体" w:cs="Times New Roman"/>
          <w:b/>
          <w:bCs/>
          <w:szCs w:val="21"/>
        </w:rPr>
        <w:t>供应商声明函</w:t>
      </w:r>
    </w:p>
    <w:p>
      <w:pPr>
        <w:spacing w:line="360" w:lineRule="auto"/>
        <w:ind w:left="422" w:firstLine="420" w:firstLineChars="200"/>
        <w:rPr>
          <w:rFonts w:ascii="宋体" w:hAnsi="宋体" w:cs="Times New Roman"/>
          <w:szCs w:val="21"/>
        </w:rPr>
      </w:pPr>
      <w:r>
        <w:rPr>
          <w:rFonts w:hint="eastAsia" w:ascii="宋体" w:hAnsi="宋体" w:cs="Times New Roman"/>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（1）具有独立承担民事责任的能力；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（2）具有良好的商业信誉和健全的财务会计制度；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（3）具有履行合同所必需的设备和专业技术能力；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（4）有依法缴纳税收和社会保障资金的良好记录；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（7）符合法律、行政法规规定的其他条件。                                    </w:t>
      </w:r>
    </w:p>
    <w:p>
      <w:pPr>
        <w:spacing w:line="360" w:lineRule="auto"/>
        <w:ind w:left="422" w:firstLine="420" w:firstLineChars="200"/>
        <w:rPr>
          <w:rFonts w:ascii="宋体" w:hAnsi="宋体" w:cs="Times New Roman"/>
          <w:szCs w:val="21"/>
        </w:rPr>
      </w:pPr>
      <w:r>
        <w:rPr>
          <w:rFonts w:hint="eastAsia" w:ascii="宋体" w:hAnsi="宋体" w:cs="Times New Roman"/>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cs="Times New Roman"/>
          <w:szCs w:val="21"/>
        </w:rPr>
      </w:pPr>
      <w:r>
        <w:rPr>
          <w:rFonts w:hint="eastAsia" w:ascii="宋体" w:hAnsi="宋体" w:cs="Times New Roman"/>
          <w:szCs w:val="21"/>
        </w:rPr>
        <w:t>本单位对上述声明的真实性负责。如有虚假，将依法承担相应责任。</w:t>
      </w:r>
    </w:p>
    <w:p>
      <w:pPr>
        <w:spacing w:line="360" w:lineRule="auto"/>
        <w:ind w:left="422"/>
        <w:rPr>
          <w:rFonts w:ascii="宋体" w:hAnsi="宋体" w:cs="Times New Roman"/>
          <w:szCs w:val="21"/>
        </w:rPr>
      </w:pPr>
    </w:p>
    <w:p>
      <w:pPr>
        <w:spacing w:line="360" w:lineRule="auto"/>
        <w:ind w:left="422"/>
        <w:rPr>
          <w:rFonts w:ascii="宋体" w:hAnsi="宋体" w:cs="Times New Roman"/>
          <w:szCs w:val="21"/>
        </w:rPr>
      </w:pPr>
    </w:p>
    <w:p>
      <w:pPr>
        <w:spacing w:line="360" w:lineRule="auto"/>
        <w:ind w:firstLine="420" w:firstLineChars="200"/>
        <w:jc w:val="right"/>
        <w:rPr>
          <w:rFonts w:ascii="宋体" w:hAnsi="宋体" w:cs="Times New Roman"/>
          <w:szCs w:val="21"/>
        </w:rPr>
      </w:pPr>
      <w:r>
        <w:rPr>
          <w:rFonts w:hint="eastAsia" w:ascii="宋体" w:hAnsi="宋体" w:cs="Times New Roman"/>
          <w:szCs w:val="21"/>
        </w:rPr>
        <w:t xml:space="preserve">供应商公章：_______________________                                           </w:t>
      </w:r>
    </w:p>
    <w:p>
      <w:pPr>
        <w:spacing w:line="360" w:lineRule="auto"/>
        <w:jc w:val="center"/>
        <w:outlineLvl w:val="2"/>
        <w:rPr>
          <w:rFonts w:cs="Times New Roman" w:asciiTheme="minorEastAsia" w:hAnsiTheme="minorEastAsia" w:eastAsiaTheme="minorEastAsia"/>
          <w:b/>
          <w:sz w:val="24"/>
        </w:rPr>
      </w:pPr>
      <w:r>
        <w:rPr>
          <w:rFonts w:hint="eastAsia" w:ascii="Times New Roman" w:hAnsi="宋体" w:cs="Times New Roman"/>
          <w:szCs w:val="21"/>
        </w:rPr>
        <w:t xml:space="preserve">               </w:t>
      </w:r>
      <w:r>
        <w:rPr>
          <w:rFonts w:ascii="Times New Roman" w:hAnsi="宋体" w:cs="Times New Roman"/>
          <w:szCs w:val="21"/>
        </w:rPr>
        <w:t xml:space="preserve">                                 </w:t>
      </w:r>
      <w:r>
        <w:rPr>
          <w:rFonts w:hint="eastAsia" w:ascii="Times New Roman" w:hAnsi="宋体" w:cs="Times New Roman"/>
          <w:szCs w:val="21"/>
        </w:rPr>
        <w:t xml:space="preserve"> 日期：       年     月     日</w:t>
      </w:r>
    </w:p>
    <w:p>
      <w:pPr>
        <w:spacing w:line="360" w:lineRule="auto"/>
        <w:ind w:firstLine="420" w:firstLineChars="200"/>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4、法定代表人身份证明书（格式见附件）及其有效二代居民身份证；</w:t>
      </w:r>
    </w:p>
    <w:p>
      <w:pPr>
        <w:spacing w:line="360" w:lineRule="auto"/>
        <w:ind w:firstLine="420" w:firstLineChars="200"/>
        <w:rPr>
          <w:rFonts w:ascii="宋体" w:hAnsi="宋体" w:cs="Times New Roman"/>
          <w:szCs w:val="21"/>
        </w:rPr>
      </w:pPr>
      <w:r>
        <w:rPr>
          <w:rFonts w:hint="eastAsia" w:ascii="宋体" w:hAnsi="宋体" w:cs="Times New Roman"/>
          <w:szCs w:val="21"/>
        </w:rPr>
        <w:t>5、法定代表人授权委托书（格式见附件）及其委托代理人有效二代居民身份证，若法定代表人本人参与谈判则不需此件；</w:t>
      </w:r>
    </w:p>
    <w:p>
      <w:pPr>
        <w:spacing w:line="360" w:lineRule="auto"/>
        <w:ind w:firstLine="420" w:firstLineChars="200"/>
        <w:rPr>
          <w:rFonts w:ascii="宋体" w:hAnsi="宋体" w:cs="Times New Roman"/>
          <w:szCs w:val="21"/>
        </w:rPr>
      </w:pPr>
      <w:r>
        <w:rPr>
          <w:rFonts w:hint="eastAsia" w:ascii="宋体" w:hAnsi="宋体" w:cs="Times New Roman"/>
          <w:szCs w:val="21"/>
        </w:rPr>
        <w:t>银行、保险、石油化工、电力、电信等特殊行业的分公司取得总公司相关授权的，谈判文件中关于法定代表人的要求事项可由分公司负责人代理。负责人身份证明书及负责人授权委托书（格式见附件）。</w:t>
      </w:r>
    </w:p>
    <w:p>
      <w:pPr>
        <w:spacing w:line="360" w:lineRule="auto"/>
        <w:ind w:firstLine="420" w:firstLineChars="200"/>
        <w:rPr>
          <w:rFonts w:ascii="宋体" w:hAnsi="宋体" w:cs="Times New Roman"/>
          <w:szCs w:val="21"/>
        </w:rPr>
      </w:pPr>
      <w:r>
        <w:rPr>
          <w:rFonts w:hint="eastAsia" w:ascii="宋体" w:hAnsi="宋体" w:cs="Times New Roman"/>
          <w:szCs w:val="21"/>
        </w:rPr>
        <w:t>6、履行合同所必需的设备和专业技术能力证明文件。(根据项目需要，可调整)</w:t>
      </w:r>
    </w:p>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.1</w:t>
      </w:r>
      <w:r>
        <w:rPr>
          <w:rFonts w:hint="eastAsia" w:ascii="宋体" w:hAnsi="宋体" w:cs="Times New Roman"/>
          <w:szCs w:val="21"/>
        </w:rPr>
        <w:t>服务于本项目的专业设备一览表</w:t>
      </w:r>
    </w:p>
    <w:tbl>
      <w:tblPr>
        <w:tblStyle w:val="2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jc w:val="center"/>
              <w:rPr>
                <w:rFonts w:ascii="宋体" w:hAnsi="宋体" w:cs="Times New Roman"/>
                <w:szCs w:val="21"/>
              </w:rPr>
            </w:pPr>
            <w:r>
              <w:rPr>
                <w:rFonts w:hint="eastAsia" w:ascii="宋体" w:hAnsi="宋体" w:cs="Times New Roman"/>
                <w:szCs w:val="21"/>
              </w:rPr>
              <w:t>序号</w:t>
            </w:r>
          </w:p>
        </w:tc>
        <w:tc>
          <w:tcPr>
            <w:tcW w:w="2265" w:type="dxa"/>
            <w:vAlign w:val="center"/>
          </w:tcPr>
          <w:p>
            <w:pPr>
              <w:spacing w:line="360" w:lineRule="auto"/>
              <w:jc w:val="center"/>
              <w:rPr>
                <w:rFonts w:ascii="宋体" w:hAnsi="宋体" w:cs="Times New Roman"/>
                <w:szCs w:val="21"/>
              </w:rPr>
            </w:pPr>
            <w:r>
              <w:rPr>
                <w:rFonts w:hint="eastAsia" w:ascii="宋体" w:hAnsi="宋体" w:cs="Times New Roman"/>
                <w:szCs w:val="21"/>
              </w:rPr>
              <w:t>设备名称</w:t>
            </w:r>
          </w:p>
        </w:tc>
        <w:tc>
          <w:tcPr>
            <w:tcW w:w="1436" w:type="dxa"/>
            <w:vAlign w:val="center"/>
          </w:tcPr>
          <w:p>
            <w:pPr>
              <w:spacing w:line="360" w:lineRule="auto"/>
              <w:jc w:val="center"/>
              <w:rPr>
                <w:rFonts w:ascii="宋体" w:hAnsi="宋体" w:cs="Times New Roman"/>
                <w:szCs w:val="21"/>
              </w:rPr>
            </w:pPr>
            <w:r>
              <w:rPr>
                <w:rFonts w:hint="eastAsia" w:ascii="宋体" w:hAnsi="宋体" w:cs="Times New Roman"/>
                <w:szCs w:val="21"/>
              </w:rPr>
              <w:t>购入时间</w:t>
            </w:r>
          </w:p>
        </w:tc>
        <w:tc>
          <w:tcPr>
            <w:tcW w:w="923" w:type="dxa"/>
            <w:vAlign w:val="center"/>
          </w:tcPr>
          <w:p>
            <w:pPr>
              <w:spacing w:line="360" w:lineRule="auto"/>
              <w:jc w:val="center"/>
              <w:rPr>
                <w:rFonts w:ascii="宋体" w:hAnsi="宋体" w:cs="Times New Roman"/>
                <w:szCs w:val="21"/>
              </w:rPr>
            </w:pPr>
            <w:r>
              <w:rPr>
                <w:rFonts w:hint="eastAsia" w:ascii="宋体" w:hAnsi="宋体" w:cs="Times New Roman"/>
                <w:szCs w:val="21"/>
              </w:rPr>
              <w:t>价值</w:t>
            </w:r>
          </w:p>
        </w:tc>
        <w:tc>
          <w:tcPr>
            <w:tcW w:w="867" w:type="dxa"/>
            <w:vAlign w:val="center"/>
          </w:tcPr>
          <w:p>
            <w:pPr>
              <w:spacing w:line="360" w:lineRule="auto"/>
              <w:jc w:val="center"/>
              <w:rPr>
                <w:rFonts w:ascii="宋体" w:hAnsi="宋体" w:cs="Times New Roman"/>
                <w:szCs w:val="21"/>
              </w:rPr>
            </w:pPr>
            <w:r>
              <w:rPr>
                <w:rFonts w:hint="eastAsia" w:ascii="宋体" w:hAnsi="宋体" w:cs="Times New Roman"/>
                <w:szCs w:val="21"/>
              </w:rPr>
              <w:t>数量</w:t>
            </w:r>
          </w:p>
        </w:tc>
        <w:tc>
          <w:tcPr>
            <w:tcW w:w="1477" w:type="dxa"/>
            <w:vAlign w:val="center"/>
          </w:tcPr>
          <w:p>
            <w:pPr>
              <w:spacing w:line="360" w:lineRule="auto"/>
              <w:jc w:val="center"/>
              <w:rPr>
                <w:rFonts w:ascii="宋体" w:hAnsi="宋体" w:cs="Times New Roman"/>
                <w:szCs w:val="21"/>
              </w:rPr>
            </w:pPr>
            <w:r>
              <w:rPr>
                <w:rFonts w:hint="eastAsia" w:ascii="宋体" w:hAnsi="宋体" w:cs="Times New Roman"/>
                <w:szCs w:val="21"/>
              </w:rPr>
              <w:t>生产厂家</w:t>
            </w:r>
          </w:p>
        </w:tc>
        <w:tc>
          <w:tcPr>
            <w:tcW w:w="1486" w:type="dxa"/>
            <w:vAlign w:val="center"/>
          </w:tcPr>
          <w:p>
            <w:pPr>
              <w:spacing w:line="360" w:lineRule="auto"/>
              <w:jc w:val="center"/>
              <w:rPr>
                <w:rFonts w:ascii="宋体" w:hAnsi="宋体" w:cs="Times New Roman"/>
                <w:szCs w:val="21"/>
              </w:rPr>
            </w:pPr>
            <w:r>
              <w:rPr>
                <w:rFonts w:hint="eastAsia"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bl>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.2</w:t>
      </w:r>
      <w:r>
        <w:rPr>
          <w:rFonts w:hint="eastAsia" w:ascii="宋体" w:hAnsi="宋体" w:cs="Times New Roman"/>
          <w:szCs w:val="21"/>
        </w:rPr>
        <w:t>服务本项目人员一览表</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类别</w:t>
            </w:r>
          </w:p>
        </w:tc>
        <w:tc>
          <w:tcPr>
            <w:tcW w:w="1181"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姓名</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职务</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职称</w:t>
            </w:r>
          </w:p>
        </w:tc>
        <w:tc>
          <w:tcPr>
            <w:tcW w:w="196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手机号</w:t>
            </w:r>
          </w:p>
        </w:tc>
        <w:tc>
          <w:tcPr>
            <w:tcW w:w="2949" w:type="dxa"/>
            <w:gridSpan w:val="2"/>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983"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名称</w:t>
            </w:r>
          </w:p>
        </w:tc>
        <w:tc>
          <w:tcPr>
            <w:tcW w:w="1966"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管理人员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技术人员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cs="Times New Roman"/>
                <w:szCs w:val="21"/>
              </w:rPr>
            </w:pPr>
            <w:r>
              <w:rPr>
                <w:rFonts w:hint="eastAsia" w:ascii="宋体" w:hAnsi="宋体" w:cs="Times New Roman"/>
                <w:szCs w:val="21"/>
              </w:rPr>
              <w:t>其他</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bl>
    <w:p>
      <w:pPr>
        <w:spacing w:line="360" w:lineRule="auto"/>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7、谈判文件中要求谈判响应人提供的证明材料。</w:t>
      </w:r>
    </w:p>
    <w:p>
      <w:pPr>
        <w:spacing w:line="360" w:lineRule="auto"/>
        <w:rPr>
          <w:rFonts w:ascii="宋体" w:hAnsi="宋体" w:cs="Times New Roman"/>
          <w:szCs w:val="21"/>
        </w:rPr>
      </w:pPr>
      <w:r>
        <w:rPr>
          <w:rFonts w:hint="eastAsia" w:ascii="宋体" w:hAnsi="宋体" w:cs="Times New Roman"/>
          <w:szCs w:val="21"/>
        </w:rPr>
        <w:t xml:space="preserve">    8、须提供上述证明材料复印件或扫描件或影印件。</w:t>
      </w: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szCs w:val="21"/>
        </w:rPr>
      </w:pPr>
    </w:p>
    <w:p>
      <w:pPr>
        <w:spacing w:line="720" w:lineRule="auto"/>
        <w:jc w:val="left"/>
        <w:rPr>
          <w:rFonts w:ascii="宋体" w:hAnsi="宋体"/>
          <w:b/>
          <w:bCs/>
          <w:sz w:val="24"/>
        </w:rPr>
      </w:pPr>
      <w:r>
        <w:rPr>
          <w:rFonts w:hint="eastAsia" w:ascii="宋体" w:hAnsi="宋体"/>
          <w:b/>
          <w:bCs/>
          <w:sz w:val="24"/>
        </w:rPr>
        <w:t>附 件：</w:t>
      </w:r>
    </w:p>
    <w:p>
      <w:pPr>
        <w:spacing w:line="720" w:lineRule="auto"/>
        <w:ind w:firstLine="413" w:firstLineChars="196"/>
        <w:jc w:val="center"/>
        <w:rPr>
          <w:rFonts w:ascii="宋体" w:hAnsi="宋体" w:cs="Times New Roman"/>
          <w:b/>
          <w:bCs/>
          <w:szCs w:val="21"/>
        </w:rPr>
      </w:pPr>
      <w:r>
        <w:rPr>
          <w:rFonts w:hint="eastAsia" w:ascii="宋体" w:hAnsi="宋体" w:cs="Times New Roman"/>
          <w:b/>
          <w:bCs/>
          <w:szCs w:val="21"/>
        </w:rPr>
        <w:t>法定代表人身份证明书</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谈判响应人名称：</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单位性质：</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地址：</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成立时间：</w:t>
      </w: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经营期限：</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姓名：</w:t>
      </w:r>
      <w:r>
        <w:rPr>
          <w:rFonts w:ascii="Times New Roman" w:hAnsi="Times New Roman" w:cs="Times New Roman"/>
          <w:szCs w:val="21"/>
          <w:u w:val="single"/>
        </w:rPr>
        <w:t xml:space="preserve">             </w:t>
      </w:r>
      <w:r>
        <w:rPr>
          <w:rFonts w:ascii="Times New Roman" w:hAnsi="宋体" w:cs="Times New Roman"/>
          <w:szCs w:val="21"/>
        </w:rPr>
        <w:t>性别：</w:t>
      </w:r>
      <w:r>
        <w:rPr>
          <w:rFonts w:ascii="Times New Roman" w:hAnsi="Times New Roman" w:cs="Times New Roman"/>
          <w:szCs w:val="21"/>
          <w:u w:val="single"/>
        </w:rPr>
        <w:t xml:space="preserve">         </w:t>
      </w:r>
      <w:r>
        <w:rPr>
          <w:rFonts w:ascii="Times New Roman" w:hAnsi="宋体" w:cs="Times New Roman"/>
          <w:szCs w:val="21"/>
        </w:rPr>
        <w:t>年龄：</w:t>
      </w:r>
      <w:r>
        <w:rPr>
          <w:rFonts w:ascii="Times New Roman" w:hAnsi="Times New Roman" w:cs="Times New Roman"/>
          <w:szCs w:val="21"/>
          <w:u w:val="single"/>
        </w:rPr>
        <w:t xml:space="preserve">          </w:t>
      </w:r>
      <w:r>
        <w:rPr>
          <w:rFonts w:ascii="Times New Roman" w:hAnsi="宋体" w:cs="Times New Roman"/>
          <w:szCs w:val="21"/>
        </w:rPr>
        <w:t>职务：</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宋体" w:cs="Times New Roman"/>
          <w:szCs w:val="21"/>
        </w:rPr>
      </w:pPr>
      <w:r>
        <w:rPr>
          <w:rFonts w:ascii="Times New Roman" w:hAnsi="宋体" w:cs="Times New Roman"/>
          <w:szCs w:val="21"/>
        </w:rPr>
        <w:t>系</w:t>
      </w:r>
      <w:r>
        <w:rPr>
          <w:rFonts w:ascii="Times New Roman" w:hAnsi="Times New Roman" w:cs="Times New Roman"/>
          <w:szCs w:val="21"/>
          <w:u w:val="single"/>
        </w:rPr>
        <w:t xml:space="preserve">                          </w:t>
      </w:r>
      <w:r>
        <w:rPr>
          <w:rFonts w:ascii="Times New Roman" w:hAnsi="宋体" w:cs="Times New Roman"/>
          <w:szCs w:val="21"/>
        </w:rPr>
        <w:t>（谈判响应人名称）的法定代表人。</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联系方式（移动电话）：____________________________                     </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电子邮箱：_____________________________              </w:t>
      </w:r>
    </w:p>
    <w:p>
      <w:pPr>
        <w:wordWrap w:val="0"/>
        <w:adjustRightInd w:val="0"/>
        <w:snapToGrid w:val="0"/>
        <w:spacing w:line="720" w:lineRule="auto"/>
        <w:ind w:firstLine="411" w:firstLineChars="196"/>
        <w:rPr>
          <w:rFonts w:ascii="Times New Roman" w:hAnsi="宋体" w:cs="Times New Roman"/>
          <w:szCs w:val="21"/>
        </w:rPr>
      </w:pPr>
      <w:r>
        <w:rPr>
          <w:rFonts w:ascii="Times New Roman" w:hAnsi="宋体" w:cs="Times New Roman"/>
          <w:szCs w:val="21"/>
        </w:rPr>
        <w:t>特此证明。</w:t>
      </w:r>
    </w:p>
    <w:p>
      <w:pPr>
        <w:wordWrap w:val="0"/>
        <w:adjustRightInd w:val="0"/>
        <w:snapToGrid w:val="0"/>
        <w:spacing w:line="720" w:lineRule="auto"/>
        <w:ind w:firstLine="4137" w:firstLineChars="1970"/>
        <w:rPr>
          <w:rFonts w:ascii="Times New Roman" w:hAnsi="Times New Roman" w:cs="Times New Roman"/>
          <w:szCs w:val="21"/>
        </w:rPr>
      </w:pPr>
      <w:r>
        <w:rPr>
          <w:rFonts w:ascii="Times New Roman" w:hAnsi="宋体" w:cs="Times New Roman"/>
          <w:szCs w:val="21"/>
        </w:rPr>
        <w:t>谈判响应人：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宋体" w:cs="Times New Roman"/>
          <w:szCs w:val="21"/>
        </w:rPr>
        <w:t>（盖单位章）</w:t>
      </w:r>
    </w:p>
    <w:p>
      <w:pPr>
        <w:wordWrap w:val="0"/>
        <w:adjustRightInd w:val="0"/>
        <w:snapToGrid w:val="0"/>
        <w:spacing w:line="720" w:lineRule="auto"/>
        <w:ind w:right="360" w:firstLine="4851" w:firstLineChars="2310"/>
        <w:jc w:val="right"/>
        <w:rPr>
          <w:rFonts w:ascii="Times New Roman" w:hAnsi="宋体" w:cs="Times New Roman"/>
          <w:szCs w:val="21"/>
        </w:rPr>
      </w:pP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idowControl/>
        <w:jc w:val="left"/>
        <w:rPr>
          <w:rFonts w:ascii="宋体" w:hAnsi="宋体" w:cs="Times New Roman"/>
          <w:b/>
          <w:bCs/>
          <w:szCs w:val="21"/>
        </w:rPr>
      </w:pPr>
      <w:r>
        <w:rPr>
          <w:rFonts w:ascii="宋体" w:hAnsi="宋体" w:cs="Times New Roman"/>
          <w:b/>
          <w:bCs/>
          <w:szCs w:val="21"/>
        </w:rPr>
        <w:br w:type="page"/>
      </w:r>
    </w:p>
    <w:p>
      <w:pPr>
        <w:wordWrap w:val="0"/>
        <w:spacing w:line="360" w:lineRule="auto"/>
        <w:jc w:val="center"/>
        <w:rPr>
          <w:rFonts w:ascii="宋体" w:hAnsi="宋体" w:cs="Times New Roman"/>
          <w:b/>
          <w:bCs/>
          <w:szCs w:val="21"/>
        </w:rPr>
      </w:pPr>
      <w:r>
        <w:rPr>
          <w:rFonts w:hint="eastAsia" w:ascii="宋体" w:hAnsi="宋体" w:cs="Times New Roman"/>
          <w:b/>
          <w:bCs/>
          <w:szCs w:val="21"/>
        </w:rPr>
        <w:t>法定代表人授权委托书</w:t>
      </w:r>
    </w:p>
    <w:p>
      <w:pPr>
        <w:wordWrap w:val="0"/>
        <w:spacing w:line="720" w:lineRule="auto"/>
        <w:ind w:firstLine="420" w:firstLineChars="200"/>
        <w:rPr>
          <w:rFonts w:ascii="宋体" w:hAnsi="宋体" w:cs="Times New Roman"/>
          <w:szCs w:val="21"/>
        </w:rPr>
      </w:pPr>
      <w:r>
        <w:rPr>
          <w:rFonts w:ascii="宋体" w:hAnsi="宋体" w:cs="Times New Roman"/>
          <w:szCs w:val="21"/>
        </w:rPr>
        <w:t>本人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（姓名）系</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w:t>
      </w:r>
      <w:r>
        <w:rPr>
          <w:rFonts w:hint="eastAsia" w:ascii="宋体" w:hAnsi="宋体" w:cs="Times New Roman"/>
          <w:szCs w:val="21"/>
        </w:rPr>
        <w:t>投标人</w:t>
      </w:r>
      <w:r>
        <w:rPr>
          <w:rFonts w:ascii="宋体" w:hAnsi="宋体" w:cs="Times New Roman"/>
          <w:szCs w:val="21"/>
        </w:rPr>
        <w:t>名称）的法定代表人，现委托</w:t>
      </w:r>
      <w:r>
        <w:rPr>
          <w:rFonts w:ascii="宋体" w:hAnsi="宋体" w:cs="Times New Roman"/>
          <w:szCs w:val="21"/>
          <w:u w:val="single"/>
        </w:rPr>
        <w:t xml:space="preserve">        </w:t>
      </w:r>
      <w:r>
        <w:rPr>
          <w:rFonts w:ascii="宋体" w:hAnsi="宋体" w:cs="Times New Roman"/>
          <w:szCs w:val="21"/>
        </w:rPr>
        <w:t>（姓名）为我方</w:t>
      </w:r>
      <w:r>
        <w:rPr>
          <w:rFonts w:hint="eastAsia" w:ascii="宋体" w:hAnsi="宋体" w:cs="Times New Roman"/>
          <w:szCs w:val="21"/>
        </w:rPr>
        <w:t>委托代理人</w:t>
      </w:r>
      <w:r>
        <w:rPr>
          <w:rFonts w:ascii="宋体" w:hAnsi="宋体" w:cs="Times New Roman"/>
          <w:szCs w:val="21"/>
        </w:rPr>
        <w:t>。</w:t>
      </w:r>
      <w:r>
        <w:rPr>
          <w:rFonts w:hint="eastAsia" w:ascii="宋体" w:hAnsi="宋体" w:cs="Times New Roman"/>
          <w:szCs w:val="21"/>
        </w:rPr>
        <w:t>委托代理人</w:t>
      </w:r>
      <w:r>
        <w:rPr>
          <w:rFonts w:ascii="宋体" w:hAnsi="宋体" w:cs="Times New Roman"/>
          <w:szCs w:val="21"/>
        </w:rPr>
        <w:t>根据授权，以我方名义</w:t>
      </w:r>
      <w:r>
        <w:rPr>
          <w:rFonts w:hint="eastAsia" w:ascii="宋体" w:hAnsi="宋体" w:cs="Times New Roman"/>
          <w:szCs w:val="21"/>
        </w:rPr>
        <w:t>处理</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（项目名称）</w:t>
      </w:r>
      <w:r>
        <w:rPr>
          <w:rFonts w:hint="eastAsia" w:ascii="宋体" w:hAnsi="宋体" w:cs="Times New Roman"/>
          <w:szCs w:val="21"/>
        </w:rPr>
        <w:t>的</w:t>
      </w:r>
      <w:r>
        <w:rPr>
          <w:rFonts w:ascii="宋体" w:hAnsi="宋体" w:cs="Times New Roman"/>
          <w:szCs w:val="21"/>
        </w:rPr>
        <w:t>投标</w:t>
      </w:r>
      <w:r>
        <w:rPr>
          <w:rFonts w:hint="eastAsia" w:ascii="宋体" w:hAnsi="宋体" w:cs="Times New Roman"/>
          <w:szCs w:val="21"/>
        </w:rPr>
        <w:t>一切</w:t>
      </w:r>
      <w:r>
        <w:rPr>
          <w:rFonts w:ascii="宋体" w:hAnsi="宋体" w:cs="Times New Roman"/>
          <w:szCs w:val="21"/>
        </w:rPr>
        <w:t>事宜，其法律后果由我方承担。</w:t>
      </w:r>
    </w:p>
    <w:p>
      <w:pPr>
        <w:wordWrap w:val="0"/>
        <w:spacing w:line="720" w:lineRule="auto"/>
        <w:ind w:firstLine="420" w:firstLineChars="200"/>
        <w:rPr>
          <w:rFonts w:ascii="宋体" w:hAnsi="宋体" w:cs="Times New Roman"/>
          <w:szCs w:val="21"/>
        </w:rPr>
      </w:pPr>
      <w:r>
        <w:rPr>
          <w:rFonts w:ascii="宋体" w:hAnsi="宋体" w:cs="Times New Roman"/>
          <w:szCs w:val="21"/>
        </w:rPr>
        <w:t>委托期限：</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w:t>
      </w:r>
    </w:p>
    <w:p>
      <w:pPr>
        <w:wordWrap w:val="0"/>
        <w:spacing w:line="720" w:lineRule="auto"/>
        <w:ind w:firstLine="420" w:firstLineChars="200"/>
        <w:rPr>
          <w:rFonts w:ascii="宋体" w:hAnsi="宋体" w:cs="Times New Roman"/>
          <w:szCs w:val="21"/>
        </w:rPr>
      </w:pPr>
      <w:r>
        <w:rPr>
          <w:rFonts w:hint="eastAsia" w:ascii="宋体" w:hAnsi="宋体" w:cs="Times New Roman"/>
          <w:szCs w:val="21"/>
        </w:rPr>
        <w:t>委托代理人无转委托权，特此委托。</w:t>
      </w:r>
    </w:p>
    <w:p>
      <w:pPr>
        <w:wordWrap w:val="0"/>
        <w:spacing w:line="720" w:lineRule="auto"/>
        <w:ind w:firstLine="420" w:firstLineChars="200"/>
        <w:rPr>
          <w:rFonts w:ascii="宋体" w:hAnsi="宋体" w:cs="Times New Roman"/>
          <w:szCs w:val="21"/>
          <w:u w:val="single"/>
        </w:rPr>
      </w:pPr>
      <w:r>
        <w:rPr>
          <w:rFonts w:hint="eastAsia" w:ascii="宋体" w:hAnsi="宋体" w:cs="Times New Roman"/>
          <w:szCs w:val="21"/>
        </w:rPr>
        <w:t>委托代理人：</w:t>
      </w:r>
      <w:r>
        <w:rPr>
          <w:rFonts w:hint="eastAsia" w:ascii="宋体" w:hAnsi="宋体" w:cs="Times New Roman"/>
          <w:szCs w:val="21"/>
          <w:u w:val="single"/>
        </w:rPr>
        <w:t xml:space="preserve">              </w:t>
      </w:r>
      <w:r>
        <w:rPr>
          <w:rFonts w:hint="eastAsia" w:ascii="宋体" w:hAnsi="宋体" w:cs="Times New Roman"/>
          <w:szCs w:val="21"/>
        </w:rPr>
        <w:t>性别 ：</w:t>
      </w:r>
      <w:r>
        <w:rPr>
          <w:rFonts w:hint="eastAsia" w:ascii="宋体" w:hAnsi="宋体" w:cs="Times New Roman"/>
          <w:szCs w:val="21"/>
          <w:u w:val="single"/>
        </w:rPr>
        <w:t xml:space="preserve">            </w:t>
      </w:r>
      <w:r>
        <w:rPr>
          <w:rFonts w:hint="eastAsia" w:ascii="宋体" w:hAnsi="宋体" w:cs="Times New Roman"/>
          <w:szCs w:val="21"/>
        </w:rPr>
        <w:t>年龄：_______</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身份证号码：__________________________ 职务：____________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联系方式（移动电话）：____________________________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电子邮箱：_____________________________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谈判响应人：</w:t>
      </w:r>
      <w:r>
        <w:rPr>
          <w:rFonts w:hint="eastAsia" w:ascii="宋体" w:hAnsi="宋体" w:cs="Times New Roman"/>
          <w:szCs w:val="21"/>
          <w:u w:val="single"/>
        </w:rPr>
        <w:t xml:space="preserve">                                          （盖章）</w:t>
      </w:r>
    </w:p>
    <w:p>
      <w:pPr>
        <w:wordWrap w:val="0"/>
        <w:spacing w:line="720" w:lineRule="auto"/>
        <w:ind w:firstLine="420" w:firstLineChars="200"/>
        <w:rPr>
          <w:rFonts w:ascii="宋体" w:hAnsi="宋体" w:cs="Times New Roman"/>
          <w:szCs w:val="21"/>
        </w:rPr>
      </w:pPr>
      <w:r>
        <w:rPr>
          <w:rFonts w:hint="eastAsia" w:ascii="宋体" w:hAnsi="宋体" w:cs="Times New Roman"/>
          <w:szCs w:val="21"/>
        </w:rPr>
        <w:t>法定代表人：</w:t>
      </w:r>
      <w:r>
        <w:rPr>
          <w:rFonts w:hint="eastAsia" w:ascii="宋体" w:hAnsi="宋体" w:cs="Times New Roman"/>
          <w:szCs w:val="21"/>
          <w:u w:val="single"/>
        </w:rPr>
        <w:t xml:space="preserve">                                      （盖章）</w:t>
      </w:r>
    </w:p>
    <w:p>
      <w:pPr>
        <w:wordWrap w:val="0"/>
        <w:spacing w:line="720" w:lineRule="auto"/>
        <w:ind w:right="480" w:firstLine="420" w:firstLineChars="200"/>
        <w:rPr>
          <w:rFonts w:ascii="宋体" w:hAnsi="宋体" w:cs="Times New Roman"/>
          <w:szCs w:val="21"/>
        </w:rPr>
      </w:pPr>
      <w:r>
        <w:rPr>
          <w:rFonts w:hint="eastAsia" w:ascii="宋体" w:hAnsi="宋体" w:cs="Times New Roman"/>
          <w:szCs w:val="21"/>
        </w:rPr>
        <w:t>授权委托日期：</w:t>
      </w:r>
      <w:r>
        <w:rPr>
          <w:rFonts w:hint="eastAsia" w:ascii="宋体" w:hAnsi="宋体" w:cs="Times New Roman"/>
          <w:szCs w:val="21"/>
          <w:u w:val="single"/>
        </w:rPr>
        <w:t xml:space="preserve">     </w:t>
      </w:r>
      <w:r>
        <w:rPr>
          <w:rFonts w:hint="eastAsia" w:ascii="宋体" w:hAnsi="宋体" w:cs="Times New Roman"/>
          <w:szCs w:val="21"/>
        </w:rPr>
        <w:t xml:space="preserve">年 </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pPr>
        <w:wordWrap w:val="0"/>
        <w:spacing w:line="720" w:lineRule="auto"/>
        <w:jc w:val="center"/>
      </w:pPr>
    </w:p>
    <w:p>
      <w:pPr>
        <w:widowControl/>
        <w:jc w:val="left"/>
        <w:rPr>
          <w:rFonts w:ascii="宋体" w:hAnsi="宋体"/>
          <w:b/>
          <w:bCs/>
          <w:sz w:val="24"/>
        </w:rPr>
      </w:pPr>
      <w:bookmarkStart w:id="67" w:name="_GoBack"/>
      <w:bookmarkEnd w:id="67"/>
    </w:p>
    <w:sectPr>
      <w:footerReference r:id="rId7" w:type="first"/>
      <w:footerReference r:id="rId6"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3</w:t>
                          </w:r>
                          <w:r>
                            <w:rPr>
                              <w:rFonts w:hint="eastAsia"/>
                              <w:sz w:val="18"/>
                              <w:lang w:val="en-US" w:eastAsia="zh-CN"/>
                            </w:rPr>
                            <w:t>2</w:t>
                          </w:r>
                          <w:r>
                            <w:rPr>
                              <w:rFonts w:hint="eastAsia"/>
                              <w:sz w:val="18"/>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N2n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HTa5TPXA3RwCtpO6jBVG2Kkwji/xnFYt7sdTP2U9&#10;/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7ezdp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3</w:t>
                    </w:r>
                    <w:r>
                      <w:rPr>
                        <w:rFonts w:hint="eastAsia"/>
                        <w:sz w:val="18"/>
                        <w:lang w:val="en-US" w:eastAsia="zh-CN"/>
                      </w:rPr>
                      <w:t>2</w:t>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posOffset>2432050</wp:posOffset>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left:191.5pt;margin-top:0pt;height:144pt;width:144pt;mso-position-horizontal-relative:margin;mso-wrap-style:none;z-index:251660288;mso-width-relative:page;mso-height-relative:page;" filled="f" stroked="f" coordsize="21600,21600" o:gfxdata="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tVwL2QAAAAgBAAAPAAAAAAAAAAEA&#10;IAAAACIAAABkcnMvZG93bnJldi54bWxQSwECFAAUAAAACACHTuJANvS1ltUBAACmAwAADgAAAAAA&#10;AAABACAAAAAoAQAAZHJzL2Uyb0RvYy54bWxQSwUGAAAAAAYABgBZAQAAbw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rFonts w:hint="eastAsia" w:eastAsia="宋体"/>
        <w:lang w:eastAsia="zh-CN"/>
      </w:rPr>
    </w:pPr>
    <w:r>
      <w:rPr>
        <w:rFonts w:hint="eastAsia"/>
        <w:szCs w:val="21"/>
        <w:lang w:eastAsia="zh-CN"/>
      </w:rPr>
      <w:t>安庆职业技术学院2022年数字资源采购(中国知网CNKI数据库）项目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F3E69"/>
    <w:multiLevelType w:val="singleLevel"/>
    <w:tmpl w:val="99AF3E69"/>
    <w:lvl w:ilvl="0" w:tentative="0">
      <w:start w:val="1"/>
      <w:numFmt w:val="decimal"/>
      <w:lvlText w:val="(%1)"/>
      <w:lvlJc w:val="left"/>
      <w:pPr>
        <w:tabs>
          <w:tab w:val="left" w:pos="420"/>
        </w:tabs>
        <w:ind w:left="0" w:firstLine="0"/>
      </w:pPr>
      <w:rPr>
        <w:rFonts w:hint="default"/>
      </w:rPr>
    </w:lvl>
  </w:abstractNum>
  <w:abstractNum w:abstractNumId="1">
    <w:nsid w:val="C25C9B53"/>
    <w:multiLevelType w:val="singleLevel"/>
    <w:tmpl w:val="C25C9B53"/>
    <w:lvl w:ilvl="0" w:tentative="0">
      <w:start w:val="1"/>
      <w:numFmt w:val="decimal"/>
      <w:lvlText w:val="(%1)"/>
      <w:lvlJc w:val="left"/>
      <w:pPr>
        <w:tabs>
          <w:tab w:val="left" w:pos="420"/>
        </w:tabs>
        <w:ind w:left="0" w:firstLine="0"/>
      </w:pPr>
      <w:rPr>
        <w:rFonts w:hint="default"/>
      </w:rPr>
    </w:lvl>
  </w:abstractNum>
  <w:abstractNum w:abstractNumId="2">
    <w:nsid w:val="CABB3D05"/>
    <w:multiLevelType w:val="singleLevel"/>
    <w:tmpl w:val="CABB3D05"/>
    <w:lvl w:ilvl="0" w:tentative="0">
      <w:start w:val="1"/>
      <w:numFmt w:val="decimal"/>
      <w:lvlText w:val="%1."/>
      <w:lvlJc w:val="left"/>
      <w:pPr>
        <w:ind w:left="425" w:hanging="425"/>
      </w:pPr>
      <w:rPr>
        <w:rFonts w:hint="default"/>
      </w:rPr>
    </w:lvl>
  </w:abstractNum>
  <w:abstractNum w:abstractNumId="3">
    <w:nsid w:val="E09E0B7E"/>
    <w:multiLevelType w:val="singleLevel"/>
    <w:tmpl w:val="E09E0B7E"/>
    <w:lvl w:ilvl="0" w:tentative="0">
      <w:start w:val="1"/>
      <w:numFmt w:val="decimal"/>
      <w:lvlText w:val="(%1)"/>
      <w:lvlJc w:val="left"/>
      <w:pPr>
        <w:tabs>
          <w:tab w:val="left" w:pos="420"/>
        </w:tabs>
        <w:ind w:left="0" w:firstLine="0"/>
      </w:pPr>
      <w:rPr>
        <w:rFonts w:hint="default"/>
      </w:rPr>
    </w:lvl>
  </w:abstractNum>
  <w:abstractNum w:abstractNumId="4">
    <w:nsid w:val="E283ECAF"/>
    <w:multiLevelType w:val="singleLevel"/>
    <w:tmpl w:val="E283ECAF"/>
    <w:lvl w:ilvl="0" w:tentative="0">
      <w:start w:val="1"/>
      <w:numFmt w:val="chineseCounting"/>
      <w:suff w:val="nothing"/>
      <w:lvlText w:val="%1、"/>
      <w:lvlJc w:val="left"/>
      <w:pPr>
        <w:ind w:left="0" w:firstLine="420"/>
      </w:pPr>
      <w:rPr>
        <w:rFonts w:hint="eastAsia"/>
      </w:rPr>
    </w:lvl>
  </w:abstractNum>
  <w:abstractNum w:abstractNumId="5">
    <w:nsid w:val="FDEEA7C2"/>
    <w:multiLevelType w:val="singleLevel"/>
    <w:tmpl w:val="FDEEA7C2"/>
    <w:lvl w:ilvl="0" w:tentative="0">
      <w:start w:val="1"/>
      <w:numFmt w:val="decimal"/>
      <w:lvlText w:val="(%1)"/>
      <w:lvlJc w:val="left"/>
      <w:pPr>
        <w:tabs>
          <w:tab w:val="left" w:pos="420"/>
        </w:tabs>
        <w:ind w:left="0" w:firstLine="0"/>
      </w:pPr>
      <w:rPr>
        <w:rFonts w:hint="default"/>
      </w:rPr>
    </w:lvl>
  </w:abstractNum>
  <w:abstractNum w:abstractNumId="6">
    <w:nsid w:val="07C025FA"/>
    <w:multiLevelType w:val="singleLevel"/>
    <w:tmpl w:val="07C025FA"/>
    <w:lvl w:ilvl="0" w:tentative="0">
      <w:start w:val="1"/>
      <w:numFmt w:val="decimal"/>
      <w:lvlText w:val="(%1)"/>
      <w:lvlJc w:val="left"/>
      <w:pPr>
        <w:tabs>
          <w:tab w:val="left" w:pos="420"/>
        </w:tabs>
        <w:ind w:left="0" w:firstLine="0"/>
      </w:pPr>
      <w:rPr>
        <w:rFonts w:hint="default"/>
      </w:rPr>
    </w:lvl>
  </w:abstractNum>
  <w:abstractNum w:abstractNumId="7">
    <w:nsid w:val="0C445C2D"/>
    <w:multiLevelType w:val="singleLevel"/>
    <w:tmpl w:val="0C445C2D"/>
    <w:lvl w:ilvl="0" w:tentative="0">
      <w:start w:val="1"/>
      <w:numFmt w:val="decimal"/>
      <w:lvlText w:val="(%1)"/>
      <w:lvlJc w:val="left"/>
      <w:pPr>
        <w:tabs>
          <w:tab w:val="left" w:pos="420"/>
        </w:tabs>
        <w:ind w:left="0" w:firstLine="0"/>
      </w:pPr>
      <w:rPr>
        <w:rFonts w:hint="default"/>
      </w:rPr>
    </w:lvl>
  </w:abstractNum>
  <w:abstractNum w:abstractNumId="8">
    <w:nsid w:val="4BB5D250"/>
    <w:multiLevelType w:val="singleLevel"/>
    <w:tmpl w:val="4BB5D250"/>
    <w:lvl w:ilvl="0" w:tentative="0">
      <w:start w:val="1"/>
      <w:numFmt w:val="decimal"/>
      <w:lvlText w:val="%1."/>
      <w:lvlJc w:val="left"/>
      <w:pPr>
        <w:ind w:left="425" w:hanging="425"/>
      </w:pPr>
      <w:rPr>
        <w:rFonts w:hint="default"/>
        <w:b/>
        <w:bCs/>
      </w:rPr>
    </w:lvl>
  </w:abstractNum>
  <w:abstractNum w:abstractNumId="9">
    <w:nsid w:val="532F9908"/>
    <w:multiLevelType w:val="singleLevel"/>
    <w:tmpl w:val="532F9908"/>
    <w:lvl w:ilvl="0" w:tentative="0">
      <w:start w:val="1"/>
      <w:numFmt w:val="decimal"/>
      <w:lvlText w:val="(%1)"/>
      <w:lvlJc w:val="left"/>
      <w:pPr>
        <w:tabs>
          <w:tab w:val="left" w:pos="420"/>
        </w:tabs>
        <w:ind w:left="0" w:firstLine="0"/>
      </w:pPr>
      <w:rPr>
        <w:rFonts w:hint="default"/>
      </w:rPr>
    </w:lvl>
  </w:abstractNum>
  <w:abstractNum w:abstractNumId="10">
    <w:nsid w:val="570DA5CB"/>
    <w:multiLevelType w:val="singleLevel"/>
    <w:tmpl w:val="570DA5CB"/>
    <w:lvl w:ilvl="0" w:tentative="0">
      <w:start w:val="3"/>
      <w:numFmt w:val="chineseCounting"/>
      <w:suff w:val="nothing"/>
      <w:lvlText w:val="%1、"/>
      <w:lvlJc w:val="left"/>
    </w:lvl>
  </w:abstractNum>
  <w:abstractNum w:abstractNumId="11">
    <w:nsid w:val="570DB07E"/>
    <w:multiLevelType w:val="singleLevel"/>
    <w:tmpl w:val="570DB07E"/>
    <w:lvl w:ilvl="0" w:tentative="0">
      <w:start w:val="1"/>
      <w:numFmt w:val="decimal"/>
      <w:suff w:val="nothing"/>
      <w:lvlText w:val="（%1）"/>
      <w:lvlJc w:val="left"/>
    </w:lvl>
  </w:abstractNum>
  <w:abstractNum w:abstractNumId="12">
    <w:nsid w:val="68181D5D"/>
    <w:multiLevelType w:val="singleLevel"/>
    <w:tmpl w:val="68181D5D"/>
    <w:lvl w:ilvl="0" w:tentative="0">
      <w:start w:val="1"/>
      <w:numFmt w:val="decimal"/>
      <w:lvlText w:val="(%1)"/>
      <w:lvlJc w:val="left"/>
      <w:pPr>
        <w:tabs>
          <w:tab w:val="left" w:pos="420"/>
        </w:tabs>
        <w:ind w:left="0" w:firstLine="0"/>
      </w:pPr>
      <w:rPr>
        <w:rFonts w:hint="default"/>
      </w:rPr>
    </w:lvl>
  </w:abstractNum>
  <w:abstractNum w:abstractNumId="13">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0"/>
  </w:num>
  <w:num w:numId="3">
    <w:abstractNumId w:val="11"/>
  </w:num>
  <w:num w:numId="4">
    <w:abstractNumId w:val="13"/>
  </w:num>
  <w:num w:numId="5">
    <w:abstractNumId w:val="4"/>
  </w:num>
  <w:num w:numId="6">
    <w:abstractNumId w:val="8"/>
  </w:num>
  <w:num w:numId="7">
    <w:abstractNumId w:val="7"/>
  </w:num>
  <w:num w:numId="8">
    <w:abstractNumId w:val="0"/>
  </w:num>
  <w:num w:numId="9">
    <w:abstractNumId w:val="3"/>
  </w:num>
  <w:num w:numId="10">
    <w:abstractNumId w:val="6"/>
  </w:num>
  <w:num w:numId="11">
    <w:abstractNumId w:val="9"/>
  </w:num>
  <w:num w:numId="12">
    <w:abstractNumId w:val="12"/>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900490"/>
    <w:rsid w:val="0000221B"/>
    <w:rsid w:val="00004B73"/>
    <w:rsid w:val="000115A7"/>
    <w:rsid w:val="000130AD"/>
    <w:rsid w:val="00016B5B"/>
    <w:rsid w:val="00017E45"/>
    <w:rsid w:val="00017F76"/>
    <w:rsid w:val="00020280"/>
    <w:rsid w:val="00021BC4"/>
    <w:rsid w:val="00022E04"/>
    <w:rsid w:val="00023F20"/>
    <w:rsid w:val="00024C40"/>
    <w:rsid w:val="000255EC"/>
    <w:rsid w:val="00026953"/>
    <w:rsid w:val="0003120B"/>
    <w:rsid w:val="0003181F"/>
    <w:rsid w:val="000344CE"/>
    <w:rsid w:val="000345F3"/>
    <w:rsid w:val="00037EFF"/>
    <w:rsid w:val="000423C2"/>
    <w:rsid w:val="000426B0"/>
    <w:rsid w:val="00045C36"/>
    <w:rsid w:val="00047BBB"/>
    <w:rsid w:val="0005087B"/>
    <w:rsid w:val="00050B79"/>
    <w:rsid w:val="0005262C"/>
    <w:rsid w:val="00054022"/>
    <w:rsid w:val="000573C9"/>
    <w:rsid w:val="000659CC"/>
    <w:rsid w:val="000709BF"/>
    <w:rsid w:val="00073D1C"/>
    <w:rsid w:val="0008220B"/>
    <w:rsid w:val="0008299A"/>
    <w:rsid w:val="000829A3"/>
    <w:rsid w:val="000835D2"/>
    <w:rsid w:val="00083D2D"/>
    <w:rsid w:val="0008590E"/>
    <w:rsid w:val="000876F4"/>
    <w:rsid w:val="000958EE"/>
    <w:rsid w:val="000977F2"/>
    <w:rsid w:val="000979CE"/>
    <w:rsid w:val="000A10A6"/>
    <w:rsid w:val="000A1DCD"/>
    <w:rsid w:val="000A5694"/>
    <w:rsid w:val="000B0F52"/>
    <w:rsid w:val="000B39EF"/>
    <w:rsid w:val="000B5186"/>
    <w:rsid w:val="000C0FD1"/>
    <w:rsid w:val="000C6FB7"/>
    <w:rsid w:val="000C7DE4"/>
    <w:rsid w:val="000D0CB5"/>
    <w:rsid w:val="000D22EB"/>
    <w:rsid w:val="000D3FFE"/>
    <w:rsid w:val="000E1CE1"/>
    <w:rsid w:val="000E3EED"/>
    <w:rsid w:val="000E55CF"/>
    <w:rsid w:val="000E771B"/>
    <w:rsid w:val="000F0C83"/>
    <w:rsid w:val="000F50A5"/>
    <w:rsid w:val="00102839"/>
    <w:rsid w:val="00104177"/>
    <w:rsid w:val="001047F2"/>
    <w:rsid w:val="001060EF"/>
    <w:rsid w:val="0010756A"/>
    <w:rsid w:val="00110940"/>
    <w:rsid w:val="00116621"/>
    <w:rsid w:val="00116C5C"/>
    <w:rsid w:val="001179CB"/>
    <w:rsid w:val="00126F4F"/>
    <w:rsid w:val="00132639"/>
    <w:rsid w:val="00134332"/>
    <w:rsid w:val="00134D4F"/>
    <w:rsid w:val="00136B3B"/>
    <w:rsid w:val="00137DDC"/>
    <w:rsid w:val="001402BD"/>
    <w:rsid w:val="00140C90"/>
    <w:rsid w:val="00142597"/>
    <w:rsid w:val="00146335"/>
    <w:rsid w:val="0014655A"/>
    <w:rsid w:val="00155F9C"/>
    <w:rsid w:val="00156545"/>
    <w:rsid w:val="00157867"/>
    <w:rsid w:val="00161520"/>
    <w:rsid w:val="0017087A"/>
    <w:rsid w:val="00174833"/>
    <w:rsid w:val="00176DBE"/>
    <w:rsid w:val="0018071E"/>
    <w:rsid w:val="00180B8B"/>
    <w:rsid w:val="001871A5"/>
    <w:rsid w:val="001871E3"/>
    <w:rsid w:val="001906F0"/>
    <w:rsid w:val="00192976"/>
    <w:rsid w:val="001934BF"/>
    <w:rsid w:val="001942C2"/>
    <w:rsid w:val="001955B3"/>
    <w:rsid w:val="001965D2"/>
    <w:rsid w:val="001A04FF"/>
    <w:rsid w:val="001A19AC"/>
    <w:rsid w:val="001A1ADB"/>
    <w:rsid w:val="001A1D5E"/>
    <w:rsid w:val="001B18C7"/>
    <w:rsid w:val="001B5428"/>
    <w:rsid w:val="001C0E30"/>
    <w:rsid w:val="001C7D6B"/>
    <w:rsid w:val="001D0378"/>
    <w:rsid w:val="001D057E"/>
    <w:rsid w:val="001D48BD"/>
    <w:rsid w:val="001D49BB"/>
    <w:rsid w:val="001D4B64"/>
    <w:rsid w:val="001D5657"/>
    <w:rsid w:val="001D6645"/>
    <w:rsid w:val="001E3F65"/>
    <w:rsid w:val="001F09F0"/>
    <w:rsid w:val="001F1729"/>
    <w:rsid w:val="001F1B0F"/>
    <w:rsid w:val="001F20CC"/>
    <w:rsid w:val="001F37FE"/>
    <w:rsid w:val="001F3AF4"/>
    <w:rsid w:val="001F6CA3"/>
    <w:rsid w:val="001F7F90"/>
    <w:rsid w:val="00202933"/>
    <w:rsid w:val="00202993"/>
    <w:rsid w:val="0020488E"/>
    <w:rsid w:val="00205163"/>
    <w:rsid w:val="0020584F"/>
    <w:rsid w:val="00206B73"/>
    <w:rsid w:val="0021011A"/>
    <w:rsid w:val="00213CCD"/>
    <w:rsid w:val="002166D3"/>
    <w:rsid w:val="00216746"/>
    <w:rsid w:val="002172E9"/>
    <w:rsid w:val="00217BF0"/>
    <w:rsid w:val="002218B9"/>
    <w:rsid w:val="00224791"/>
    <w:rsid w:val="00225E93"/>
    <w:rsid w:val="002305BD"/>
    <w:rsid w:val="00231837"/>
    <w:rsid w:val="00232DFC"/>
    <w:rsid w:val="00236A1D"/>
    <w:rsid w:val="00240D7E"/>
    <w:rsid w:val="00242C25"/>
    <w:rsid w:val="0024372F"/>
    <w:rsid w:val="0024607D"/>
    <w:rsid w:val="00246D0B"/>
    <w:rsid w:val="00251436"/>
    <w:rsid w:val="002519C1"/>
    <w:rsid w:val="00255C47"/>
    <w:rsid w:val="00256324"/>
    <w:rsid w:val="002640A8"/>
    <w:rsid w:val="00265CAF"/>
    <w:rsid w:val="00265CFE"/>
    <w:rsid w:val="00265E1F"/>
    <w:rsid w:val="00266579"/>
    <w:rsid w:val="0027256A"/>
    <w:rsid w:val="00280B9F"/>
    <w:rsid w:val="00285094"/>
    <w:rsid w:val="00285EE5"/>
    <w:rsid w:val="00296EC5"/>
    <w:rsid w:val="002A00DC"/>
    <w:rsid w:val="002A127A"/>
    <w:rsid w:val="002A5F80"/>
    <w:rsid w:val="002B09FB"/>
    <w:rsid w:val="002B1416"/>
    <w:rsid w:val="002B216F"/>
    <w:rsid w:val="002B528B"/>
    <w:rsid w:val="002B7B07"/>
    <w:rsid w:val="002C0FD2"/>
    <w:rsid w:val="002C132F"/>
    <w:rsid w:val="002C157C"/>
    <w:rsid w:val="002C2FF9"/>
    <w:rsid w:val="002C44AC"/>
    <w:rsid w:val="002D1D80"/>
    <w:rsid w:val="002D1F83"/>
    <w:rsid w:val="002D4E84"/>
    <w:rsid w:val="002D7D49"/>
    <w:rsid w:val="002E1735"/>
    <w:rsid w:val="002E23A0"/>
    <w:rsid w:val="002E2834"/>
    <w:rsid w:val="002F0535"/>
    <w:rsid w:val="002F2B74"/>
    <w:rsid w:val="002F7C69"/>
    <w:rsid w:val="00300AF8"/>
    <w:rsid w:val="00303A0D"/>
    <w:rsid w:val="00310EBF"/>
    <w:rsid w:val="00313465"/>
    <w:rsid w:val="00313A11"/>
    <w:rsid w:val="003171C4"/>
    <w:rsid w:val="0032022D"/>
    <w:rsid w:val="003207B9"/>
    <w:rsid w:val="003216C6"/>
    <w:rsid w:val="00323379"/>
    <w:rsid w:val="0032509D"/>
    <w:rsid w:val="0032523F"/>
    <w:rsid w:val="00325E24"/>
    <w:rsid w:val="003266AD"/>
    <w:rsid w:val="003315E1"/>
    <w:rsid w:val="0033467C"/>
    <w:rsid w:val="00337ADD"/>
    <w:rsid w:val="003508F0"/>
    <w:rsid w:val="00360C16"/>
    <w:rsid w:val="00365534"/>
    <w:rsid w:val="0036638E"/>
    <w:rsid w:val="00370747"/>
    <w:rsid w:val="003717AC"/>
    <w:rsid w:val="00371954"/>
    <w:rsid w:val="00373957"/>
    <w:rsid w:val="00373CBA"/>
    <w:rsid w:val="00381356"/>
    <w:rsid w:val="00381446"/>
    <w:rsid w:val="00381525"/>
    <w:rsid w:val="00381D99"/>
    <w:rsid w:val="00382375"/>
    <w:rsid w:val="00383E08"/>
    <w:rsid w:val="0039107A"/>
    <w:rsid w:val="00391A8C"/>
    <w:rsid w:val="00393A60"/>
    <w:rsid w:val="00394297"/>
    <w:rsid w:val="0039458A"/>
    <w:rsid w:val="00396FC4"/>
    <w:rsid w:val="003A434A"/>
    <w:rsid w:val="003A4A78"/>
    <w:rsid w:val="003A528A"/>
    <w:rsid w:val="003B0464"/>
    <w:rsid w:val="003B0B3B"/>
    <w:rsid w:val="003B0F23"/>
    <w:rsid w:val="003B3721"/>
    <w:rsid w:val="003B5D4D"/>
    <w:rsid w:val="003B5FCC"/>
    <w:rsid w:val="003B65E0"/>
    <w:rsid w:val="003C0916"/>
    <w:rsid w:val="003C0C6B"/>
    <w:rsid w:val="003C289E"/>
    <w:rsid w:val="003C39C8"/>
    <w:rsid w:val="003C7564"/>
    <w:rsid w:val="003D30BF"/>
    <w:rsid w:val="003E146B"/>
    <w:rsid w:val="003E2791"/>
    <w:rsid w:val="003E5318"/>
    <w:rsid w:val="003E7341"/>
    <w:rsid w:val="003F2AF2"/>
    <w:rsid w:val="003F616D"/>
    <w:rsid w:val="003F6502"/>
    <w:rsid w:val="003F772D"/>
    <w:rsid w:val="00404C13"/>
    <w:rsid w:val="00404FF1"/>
    <w:rsid w:val="00407FFA"/>
    <w:rsid w:val="00412D31"/>
    <w:rsid w:val="004137EA"/>
    <w:rsid w:val="004147EE"/>
    <w:rsid w:val="00414A22"/>
    <w:rsid w:val="004173E1"/>
    <w:rsid w:val="00417703"/>
    <w:rsid w:val="004217B9"/>
    <w:rsid w:val="00436789"/>
    <w:rsid w:val="00437741"/>
    <w:rsid w:val="004407FF"/>
    <w:rsid w:val="00440CC3"/>
    <w:rsid w:val="00441D9E"/>
    <w:rsid w:val="00442949"/>
    <w:rsid w:val="00445A60"/>
    <w:rsid w:val="0044721F"/>
    <w:rsid w:val="004512DA"/>
    <w:rsid w:val="00453657"/>
    <w:rsid w:val="004554B1"/>
    <w:rsid w:val="00457B52"/>
    <w:rsid w:val="00457F83"/>
    <w:rsid w:val="00461C41"/>
    <w:rsid w:val="0046324E"/>
    <w:rsid w:val="00463B4C"/>
    <w:rsid w:val="00464FCC"/>
    <w:rsid w:val="004650BF"/>
    <w:rsid w:val="0046547C"/>
    <w:rsid w:val="00467DDA"/>
    <w:rsid w:val="004717AE"/>
    <w:rsid w:val="00473B6A"/>
    <w:rsid w:val="00482ADC"/>
    <w:rsid w:val="00484396"/>
    <w:rsid w:val="00486647"/>
    <w:rsid w:val="00486FE6"/>
    <w:rsid w:val="00487DBA"/>
    <w:rsid w:val="004A02E3"/>
    <w:rsid w:val="004A351F"/>
    <w:rsid w:val="004A6295"/>
    <w:rsid w:val="004B20D0"/>
    <w:rsid w:val="004B2E37"/>
    <w:rsid w:val="004B4A3E"/>
    <w:rsid w:val="004B6BE1"/>
    <w:rsid w:val="004C236D"/>
    <w:rsid w:val="004D18EE"/>
    <w:rsid w:val="004D5B94"/>
    <w:rsid w:val="004D65B1"/>
    <w:rsid w:val="004E4294"/>
    <w:rsid w:val="004E69EE"/>
    <w:rsid w:val="004F168B"/>
    <w:rsid w:val="004F2C5D"/>
    <w:rsid w:val="004F3D1D"/>
    <w:rsid w:val="004F573C"/>
    <w:rsid w:val="004F74E3"/>
    <w:rsid w:val="0050002E"/>
    <w:rsid w:val="00502CD8"/>
    <w:rsid w:val="00503FBE"/>
    <w:rsid w:val="00507D6C"/>
    <w:rsid w:val="00515C6E"/>
    <w:rsid w:val="00515E30"/>
    <w:rsid w:val="00516215"/>
    <w:rsid w:val="00517046"/>
    <w:rsid w:val="0052188F"/>
    <w:rsid w:val="00526867"/>
    <w:rsid w:val="005269A6"/>
    <w:rsid w:val="00531B6E"/>
    <w:rsid w:val="00532FBF"/>
    <w:rsid w:val="00534D3D"/>
    <w:rsid w:val="00535931"/>
    <w:rsid w:val="00536EAE"/>
    <w:rsid w:val="00542090"/>
    <w:rsid w:val="0054416A"/>
    <w:rsid w:val="00544935"/>
    <w:rsid w:val="00547EC3"/>
    <w:rsid w:val="00554591"/>
    <w:rsid w:val="00556347"/>
    <w:rsid w:val="0056132C"/>
    <w:rsid w:val="00561F0F"/>
    <w:rsid w:val="00563780"/>
    <w:rsid w:val="005649F2"/>
    <w:rsid w:val="00564BDB"/>
    <w:rsid w:val="005672FC"/>
    <w:rsid w:val="00572F23"/>
    <w:rsid w:val="005736D0"/>
    <w:rsid w:val="0057769F"/>
    <w:rsid w:val="0058680F"/>
    <w:rsid w:val="00592566"/>
    <w:rsid w:val="0059412F"/>
    <w:rsid w:val="0059799D"/>
    <w:rsid w:val="00597F22"/>
    <w:rsid w:val="005A0F17"/>
    <w:rsid w:val="005A3B27"/>
    <w:rsid w:val="005A6C02"/>
    <w:rsid w:val="005C1568"/>
    <w:rsid w:val="005C7C48"/>
    <w:rsid w:val="005D3417"/>
    <w:rsid w:val="005D3F3B"/>
    <w:rsid w:val="005D416F"/>
    <w:rsid w:val="005D510E"/>
    <w:rsid w:val="005D69C3"/>
    <w:rsid w:val="005D6E85"/>
    <w:rsid w:val="005E032F"/>
    <w:rsid w:val="005E3676"/>
    <w:rsid w:val="005E75DF"/>
    <w:rsid w:val="005E7DF5"/>
    <w:rsid w:val="005F503A"/>
    <w:rsid w:val="005F55B2"/>
    <w:rsid w:val="005F7187"/>
    <w:rsid w:val="006004B2"/>
    <w:rsid w:val="00606258"/>
    <w:rsid w:val="00611A87"/>
    <w:rsid w:val="00616289"/>
    <w:rsid w:val="00617786"/>
    <w:rsid w:val="00620413"/>
    <w:rsid w:val="00620FB1"/>
    <w:rsid w:val="00621632"/>
    <w:rsid w:val="00622BE3"/>
    <w:rsid w:val="00625CFF"/>
    <w:rsid w:val="006305D8"/>
    <w:rsid w:val="00631B7D"/>
    <w:rsid w:val="00631EE7"/>
    <w:rsid w:val="006363FE"/>
    <w:rsid w:val="00636EFC"/>
    <w:rsid w:val="00637494"/>
    <w:rsid w:val="00642366"/>
    <w:rsid w:val="006428C3"/>
    <w:rsid w:val="0064328C"/>
    <w:rsid w:val="00650D6F"/>
    <w:rsid w:val="00653D7F"/>
    <w:rsid w:val="00660B03"/>
    <w:rsid w:val="0066527C"/>
    <w:rsid w:val="00667A46"/>
    <w:rsid w:val="00670E23"/>
    <w:rsid w:val="0067135F"/>
    <w:rsid w:val="00673288"/>
    <w:rsid w:val="00675371"/>
    <w:rsid w:val="00675685"/>
    <w:rsid w:val="00676BF8"/>
    <w:rsid w:val="00680D7F"/>
    <w:rsid w:val="006861F3"/>
    <w:rsid w:val="00690721"/>
    <w:rsid w:val="006937A0"/>
    <w:rsid w:val="006949FD"/>
    <w:rsid w:val="00694C56"/>
    <w:rsid w:val="00694D77"/>
    <w:rsid w:val="00694FDE"/>
    <w:rsid w:val="006959C0"/>
    <w:rsid w:val="006959D4"/>
    <w:rsid w:val="006977D5"/>
    <w:rsid w:val="006A020A"/>
    <w:rsid w:val="006A0705"/>
    <w:rsid w:val="006A0B16"/>
    <w:rsid w:val="006A3401"/>
    <w:rsid w:val="006A3626"/>
    <w:rsid w:val="006A3D32"/>
    <w:rsid w:val="006A481B"/>
    <w:rsid w:val="006B0BD6"/>
    <w:rsid w:val="006B2593"/>
    <w:rsid w:val="006B43AD"/>
    <w:rsid w:val="006B68C5"/>
    <w:rsid w:val="006C09C6"/>
    <w:rsid w:val="006C2388"/>
    <w:rsid w:val="006D103F"/>
    <w:rsid w:val="006D7941"/>
    <w:rsid w:val="006E08B8"/>
    <w:rsid w:val="006E1911"/>
    <w:rsid w:val="006E23CC"/>
    <w:rsid w:val="006E34ED"/>
    <w:rsid w:val="006E7CC7"/>
    <w:rsid w:val="006F4AD3"/>
    <w:rsid w:val="00702F5B"/>
    <w:rsid w:val="00707A99"/>
    <w:rsid w:val="0071285A"/>
    <w:rsid w:val="00715D94"/>
    <w:rsid w:val="00716D38"/>
    <w:rsid w:val="00717DE5"/>
    <w:rsid w:val="0072033B"/>
    <w:rsid w:val="00721E56"/>
    <w:rsid w:val="0072252C"/>
    <w:rsid w:val="007226C5"/>
    <w:rsid w:val="00722EA5"/>
    <w:rsid w:val="007306BA"/>
    <w:rsid w:val="00730983"/>
    <w:rsid w:val="00734E15"/>
    <w:rsid w:val="0074011B"/>
    <w:rsid w:val="0074332D"/>
    <w:rsid w:val="0074494C"/>
    <w:rsid w:val="00745F15"/>
    <w:rsid w:val="0075079D"/>
    <w:rsid w:val="00751DD8"/>
    <w:rsid w:val="00753A75"/>
    <w:rsid w:val="00757878"/>
    <w:rsid w:val="00760246"/>
    <w:rsid w:val="0076197C"/>
    <w:rsid w:val="00762F33"/>
    <w:rsid w:val="00766932"/>
    <w:rsid w:val="00767763"/>
    <w:rsid w:val="00771569"/>
    <w:rsid w:val="00772E29"/>
    <w:rsid w:val="00775FDA"/>
    <w:rsid w:val="00776ED4"/>
    <w:rsid w:val="00776F15"/>
    <w:rsid w:val="00783F5D"/>
    <w:rsid w:val="00785511"/>
    <w:rsid w:val="00785B95"/>
    <w:rsid w:val="0079289D"/>
    <w:rsid w:val="00794363"/>
    <w:rsid w:val="007944D1"/>
    <w:rsid w:val="00796C1A"/>
    <w:rsid w:val="007A0886"/>
    <w:rsid w:val="007A263C"/>
    <w:rsid w:val="007A36A2"/>
    <w:rsid w:val="007A549D"/>
    <w:rsid w:val="007A5ED4"/>
    <w:rsid w:val="007A7643"/>
    <w:rsid w:val="007B0601"/>
    <w:rsid w:val="007B0D20"/>
    <w:rsid w:val="007B4252"/>
    <w:rsid w:val="007B4B38"/>
    <w:rsid w:val="007C3A10"/>
    <w:rsid w:val="007C527D"/>
    <w:rsid w:val="007C54A3"/>
    <w:rsid w:val="007C64CB"/>
    <w:rsid w:val="007D477E"/>
    <w:rsid w:val="007D5CAC"/>
    <w:rsid w:val="007D77BA"/>
    <w:rsid w:val="007E697B"/>
    <w:rsid w:val="007F1686"/>
    <w:rsid w:val="007F233C"/>
    <w:rsid w:val="007F3389"/>
    <w:rsid w:val="00801BFD"/>
    <w:rsid w:val="00804841"/>
    <w:rsid w:val="00804C6A"/>
    <w:rsid w:val="00810C48"/>
    <w:rsid w:val="00812CF0"/>
    <w:rsid w:val="0082156D"/>
    <w:rsid w:val="00822C39"/>
    <w:rsid w:val="0083082C"/>
    <w:rsid w:val="00832C42"/>
    <w:rsid w:val="008416F8"/>
    <w:rsid w:val="00842D79"/>
    <w:rsid w:val="00852C5B"/>
    <w:rsid w:val="00853549"/>
    <w:rsid w:val="008611A5"/>
    <w:rsid w:val="0086341F"/>
    <w:rsid w:val="008640AC"/>
    <w:rsid w:val="00864F77"/>
    <w:rsid w:val="00867E96"/>
    <w:rsid w:val="00876DC5"/>
    <w:rsid w:val="00881E62"/>
    <w:rsid w:val="00884149"/>
    <w:rsid w:val="008844D7"/>
    <w:rsid w:val="00885083"/>
    <w:rsid w:val="00885894"/>
    <w:rsid w:val="00890154"/>
    <w:rsid w:val="0089147A"/>
    <w:rsid w:val="008937C0"/>
    <w:rsid w:val="00893916"/>
    <w:rsid w:val="008A2713"/>
    <w:rsid w:val="008A2A47"/>
    <w:rsid w:val="008C12C0"/>
    <w:rsid w:val="008C2CD8"/>
    <w:rsid w:val="008C56FC"/>
    <w:rsid w:val="008C6412"/>
    <w:rsid w:val="008C6D11"/>
    <w:rsid w:val="008D097D"/>
    <w:rsid w:val="008D4C46"/>
    <w:rsid w:val="008D6291"/>
    <w:rsid w:val="008D67A0"/>
    <w:rsid w:val="008E0F08"/>
    <w:rsid w:val="008E5227"/>
    <w:rsid w:val="008E5453"/>
    <w:rsid w:val="008F468B"/>
    <w:rsid w:val="008F77A1"/>
    <w:rsid w:val="00900490"/>
    <w:rsid w:val="0090298A"/>
    <w:rsid w:val="00903628"/>
    <w:rsid w:val="00903D5C"/>
    <w:rsid w:val="0090503B"/>
    <w:rsid w:val="00905142"/>
    <w:rsid w:val="0090553F"/>
    <w:rsid w:val="00906180"/>
    <w:rsid w:val="009068B3"/>
    <w:rsid w:val="00907016"/>
    <w:rsid w:val="00914154"/>
    <w:rsid w:val="009157AD"/>
    <w:rsid w:val="0091651C"/>
    <w:rsid w:val="00917BC8"/>
    <w:rsid w:val="00921839"/>
    <w:rsid w:val="0092570F"/>
    <w:rsid w:val="00930267"/>
    <w:rsid w:val="00937699"/>
    <w:rsid w:val="00937E66"/>
    <w:rsid w:val="0094181F"/>
    <w:rsid w:val="00946244"/>
    <w:rsid w:val="00947B8C"/>
    <w:rsid w:val="00947CE9"/>
    <w:rsid w:val="00953B60"/>
    <w:rsid w:val="00954DD4"/>
    <w:rsid w:val="00955979"/>
    <w:rsid w:val="00956A4B"/>
    <w:rsid w:val="00962CA4"/>
    <w:rsid w:val="009637FF"/>
    <w:rsid w:val="00965B31"/>
    <w:rsid w:val="0096661E"/>
    <w:rsid w:val="0096709F"/>
    <w:rsid w:val="00971871"/>
    <w:rsid w:val="00973A86"/>
    <w:rsid w:val="00973C50"/>
    <w:rsid w:val="0098033C"/>
    <w:rsid w:val="009827A5"/>
    <w:rsid w:val="00992E5B"/>
    <w:rsid w:val="009A53C1"/>
    <w:rsid w:val="009A7043"/>
    <w:rsid w:val="009A7B15"/>
    <w:rsid w:val="009B139B"/>
    <w:rsid w:val="009B388A"/>
    <w:rsid w:val="009C041B"/>
    <w:rsid w:val="009C55A0"/>
    <w:rsid w:val="009D1100"/>
    <w:rsid w:val="009D2E83"/>
    <w:rsid w:val="009D53A5"/>
    <w:rsid w:val="009D7374"/>
    <w:rsid w:val="009E0EBC"/>
    <w:rsid w:val="009E19A1"/>
    <w:rsid w:val="009E2E1B"/>
    <w:rsid w:val="009E3126"/>
    <w:rsid w:val="009E594F"/>
    <w:rsid w:val="009F16C8"/>
    <w:rsid w:val="009F1BAE"/>
    <w:rsid w:val="009F1E33"/>
    <w:rsid w:val="009F29FA"/>
    <w:rsid w:val="009F31AF"/>
    <w:rsid w:val="009F43E6"/>
    <w:rsid w:val="009F6684"/>
    <w:rsid w:val="00A016F6"/>
    <w:rsid w:val="00A02FED"/>
    <w:rsid w:val="00A04D6D"/>
    <w:rsid w:val="00A07F97"/>
    <w:rsid w:val="00A10AC9"/>
    <w:rsid w:val="00A1692E"/>
    <w:rsid w:val="00A23D77"/>
    <w:rsid w:val="00A27C03"/>
    <w:rsid w:val="00A32C9A"/>
    <w:rsid w:val="00A338FE"/>
    <w:rsid w:val="00A34B60"/>
    <w:rsid w:val="00A412B6"/>
    <w:rsid w:val="00A42BB2"/>
    <w:rsid w:val="00A47FB3"/>
    <w:rsid w:val="00A50059"/>
    <w:rsid w:val="00A50856"/>
    <w:rsid w:val="00A5245D"/>
    <w:rsid w:val="00A542F3"/>
    <w:rsid w:val="00A5751A"/>
    <w:rsid w:val="00A608BC"/>
    <w:rsid w:val="00A60FA2"/>
    <w:rsid w:val="00A61012"/>
    <w:rsid w:val="00A6465A"/>
    <w:rsid w:val="00A64833"/>
    <w:rsid w:val="00A67AB7"/>
    <w:rsid w:val="00A67DD8"/>
    <w:rsid w:val="00A67F41"/>
    <w:rsid w:val="00A75A8A"/>
    <w:rsid w:val="00A8028E"/>
    <w:rsid w:val="00A813C6"/>
    <w:rsid w:val="00A81F21"/>
    <w:rsid w:val="00A8351C"/>
    <w:rsid w:val="00A84199"/>
    <w:rsid w:val="00A94D10"/>
    <w:rsid w:val="00AA4C82"/>
    <w:rsid w:val="00AA58A5"/>
    <w:rsid w:val="00AA7453"/>
    <w:rsid w:val="00AB4BEE"/>
    <w:rsid w:val="00AB6D8C"/>
    <w:rsid w:val="00AB6FBA"/>
    <w:rsid w:val="00AC28A7"/>
    <w:rsid w:val="00AC32AB"/>
    <w:rsid w:val="00AC3FF9"/>
    <w:rsid w:val="00AC7200"/>
    <w:rsid w:val="00AC770A"/>
    <w:rsid w:val="00AD0355"/>
    <w:rsid w:val="00AD1EB2"/>
    <w:rsid w:val="00AD38F4"/>
    <w:rsid w:val="00AD7424"/>
    <w:rsid w:val="00AD7BAC"/>
    <w:rsid w:val="00AE425C"/>
    <w:rsid w:val="00AE5B84"/>
    <w:rsid w:val="00AE5F6C"/>
    <w:rsid w:val="00AE69D5"/>
    <w:rsid w:val="00AE7160"/>
    <w:rsid w:val="00AF4112"/>
    <w:rsid w:val="00AF7D9E"/>
    <w:rsid w:val="00B00334"/>
    <w:rsid w:val="00B1221C"/>
    <w:rsid w:val="00B13F40"/>
    <w:rsid w:val="00B15333"/>
    <w:rsid w:val="00B22634"/>
    <w:rsid w:val="00B2715F"/>
    <w:rsid w:val="00B27CA4"/>
    <w:rsid w:val="00B27D89"/>
    <w:rsid w:val="00B32594"/>
    <w:rsid w:val="00B32D82"/>
    <w:rsid w:val="00B346D4"/>
    <w:rsid w:val="00B37971"/>
    <w:rsid w:val="00B46826"/>
    <w:rsid w:val="00B479C5"/>
    <w:rsid w:val="00B47FFB"/>
    <w:rsid w:val="00B52BDB"/>
    <w:rsid w:val="00B533FC"/>
    <w:rsid w:val="00B601B8"/>
    <w:rsid w:val="00B60E41"/>
    <w:rsid w:val="00B64712"/>
    <w:rsid w:val="00B71B59"/>
    <w:rsid w:val="00B723E2"/>
    <w:rsid w:val="00B72520"/>
    <w:rsid w:val="00B73CCF"/>
    <w:rsid w:val="00B75956"/>
    <w:rsid w:val="00B75D23"/>
    <w:rsid w:val="00B80202"/>
    <w:rsid w:val="00B802F3"/>
    <w:rsid w:val="00B82608"/>
    <w:rsid w:val="00B91515"/>
    <w:rsid w:val="00B93089"/>
    <w:rsid w:val="00BA0F32"/>
    <w:rsid w:val="00BA1553"/>
    <w:rsid w:val="00BA1D09"/>
    <w:rsid w:val="00BA1D2F"/>
    <w:rsid w:val="00BA41A9"/>
    <w:rsid w:val="00BA4469"/>
    <w:rsid w:val="00BB5FA4"/>
    <w:rsid w:val="00BB7D9F"/>
    <w:rsid w:val="00BC0CCA"/>
    <w:rsid w:val="00BC6E16"/>
    <w:rsid w:val="00BD1644"/>
    <w:rsid w:val="00BE09FC"/>
    <w:rsid w:val="00BE0A45"/>
    <w:rsid w:val="00BE0E08"/>
    <w:rsid w:val="00BE4B67"/>
    <w:rsid w:val="00BE7D22"/>
    <w:rsid w:val="00BE7DC3"/>
    <w:rsid w:val="00BF2849"/>
    <w:rsid w:val="00BF3C17"/>
    <w:rsid w:val="00BF7B6F"/>
    <w:rsid w:val="00C01996"/>
    <w:rsid w:val="00C0231A"/>
    <w:rsid w:val="00C11392"/>
    <w:rsid w:val="00C17A09"/>
    <w:rsid w:val="00C2483E"/>
    <w:rsid w:val="00C34021"/>
    <w:rsid w:val="00C35150"/>
    <w:rsid w:val="00C36E9F"/>
    <w:rsid w:val="00C36EC3"/>
    <w:rsid w:val="00C37EBC"/>
    <w:rsid w:val="00C47454"/>
    <w:rsid w:val="00C477B3"/>
    <w:rsid w:val="00C50706"/>
    <w:rsid w:val="00C507A8"/>
    <w:rsid w:val="00C50ACB"/>
    <w:rsid w:val="00C50C29"/>
    <w:rsid w:val="00C515FC"/>
    <w:rsid w:val="00C52DD2"/>
    <w:rsid w:val="00C55016"/>
    <w:rsid w:val="00C56E8C"/>
    <w:rsid w:val="00C5767D"/>
    <w:rsid w:val="00C623B6"/>
    <w:rsid w:val="00C627B0"/>
    <w:rsid w:val="00C67E08"/>
    <w:rsid w:val="00C71558"/>
    <w:rsid w:val="00C750EE"/>
    <w:rsid w:val="00C92706"/>
    <w:rsid w:val="00C93D95"/>
    <w:rsid w:val="00C94B99"/>
    <w:rsid w:val="00CA0116"/>
    <w:rsid w:val="00CA5485"/>
    <w:rsid w:val="00CB13FD"/>
    <w:rsid w:val="00CB195E"/>
    <w:rsid w:val="00CB566D"/>
    <w:rsid w:val="00CB7DEC"/>
    <w:rsid w:val="00CC0137"/>
    <w:rsid w:val="00CC1D08"/>
    <w:rsid w:val="00CC238D"/>
    <w:rsid w:val="00CC36F5"/>
    <w:rsid w:val="00CC77E1"/>
    <w:rsid w:val="00CD3B67"/>
    <w:rsid w:val="00CD4D3C"/>
    <w:rsid w:val="00CE3A3B"/>
    <w:rsid w:val="00D00C8E"/>
    <w:rsid w:val="00D030DE"/>
    <w:rsid w:val="00D05A09"/>
    <w:rsid w:val="00D12380"/>
    <w:rsid w:val="00D15DC2"/>
    <w:rsid w:val="00D20B6F"/>
    <w:rsid w:val="00D21357"/>
    <w:rsid w:val="00D22E93"/>
    <w:rsid w:val="00D233D2"/>
    <w:rsid w:val="00D37C57"/>
    <w:rsid w:val="00D37D16"/>
    <w:rsid w:val="00D41CD1"/>
    <w:rsid w:val="00D43F69"/>
    <w:rsid w:val="00D44C6C"/>
    <w:rsid w:val="00D50D8C"/>
    <w:rsid w:val="00D528BA"/>
    <w:rsid w:val="00D53499"/>
    <w:rsid w:val="00D5423C"/>
    <w:rsid w:val="00D56F83"/>
    <w:rsid w:val="00D6005C"/>
    <w:rsid w:val="00D60F3D"/>
    <w:rsid w:val="00D62AF8"/>
    <w:rsid w:val="00D6395F"/>
    <w:rsid w:val="00D63ABE"/>
    <w:rsid w:val="00D65057"/>
    <w:rsid w:val="00D65F61"/>
    <w:rsid w:val="00D71CC5"/>
    <w:rsid w:val="00D76CE3"/>
    <w:rsid w:val="00D76F20"/>
    <w:rsid w:val="00D82674"/>
    <w:rsid w:val="00D831E6"/>
    <w:rsid w:val="00D915AF"/>
    <w:rsid w:val="00DA05BF"/>
    <w:rsid w:val="00DA1231"/>
    <w:rsid w:val="00DA2A8B"/>
    <w:rsid w:val="00DB081D"/>
    <w:rsid w:val="00DB59F7"/>
    <w:rsid w:val="00DC0D2E"/>
    <w:rsid w:val="00DC63A2"/>
    <w:rsid w:val="00DD2048"/>
    <w:rsid w:val="00DD2482"/>
    <w:rsid w:val="00DE2A8E"/>
    <w:rsid w:val="00DF25E5"/>
    <w:rsid w:val="00DF282B"/>
    <w:rsid w:val="00DF475C"/>
    <w:rsid w:val="00DF4FB3"/>
    <w:rsid w:val="00E07083"/>
    <w:rsid w:val="00E070C9"/>
    <w:rsid w:val="00E101D3"/>
    <w:rsid w:val="00E12773"/>
    <w:rsid w:val="00E1309F"/>
    <w:rsid w:val="00E137EB"/>
    <w:rsid w:val="00E15330"/>
    <w:rsid w:val="00E16FCF"/>
    <w:rsid w:val="00E176CF"/>
    <w:rsid w:val="00E17BD0"/>
    <w:rsid w:val="00E206BB"/>
    <w:rsid w:val="00E221B1"/>
    <w:rsid w:val="00E237F7"/>
    <w:rsid w:val="00E302B2"/>
    <w:rsid w:val="00E31440"/>
    <w:rsid w:val="00E31D5E"/>
    <w:rsid w:val="00E36096"/>
    <w:rsid w:val="00E442C1"/>
    <w:rsid w:val="00E467DF"/>
    <w:rsid w:val="00E508F7"/>
    <w:rsid w:val="00E51109"/>
    <w:rsid w:val="00E51DD2"/>
    <w:rsid w:val="00E5204A"/>
    <w:rsid w:val="00E53225"/>
    <w:rsid w:val="00E54FAA"/>
    <w:rsid w:val="00E55617"/>
    <w:rsid w:val="00E56ED0"/>
    <w:rsid w:val="00E63149"/>
    <w:rsid w:val="00E66E4C"/>
    <w:rsid w:val="00E704A4"/>
    <w:rsid w:val="00E74D21"/>
    <w:rsid w:val="00E75947"/>
    <w:rsid w:val="00E765D0"/>
    <w:rsid w:val="00E77062"/>
    <w:rsid w:val="00E77E51"/>
    <w:rsid w:val="00E81881"/>
    <w:rsid w:val="00E81B89"/>
    <w:rsid w:val="00E83F70"/>
    <w:rsid w:val="00E85CB0"/>
    <w:rsid w:val="00E902C5"/>
    <w:rsid w:val="00E938FB"/>
    <w:rsid w:val="00E955E6"/>
    <w:rsid w:val="00EA121F"/>
    <w:rsid w:val="00EA27B1"/>
    <w:rsid w:val="00EA482A"/>
    <w:rsid w:val="00EB1E94"/>
    <w:rsid w:val="00EB200A"/>
    <w:rsid w:val="00EB2472"/>
    <w:rsid w:val="00EB2EBE"/>
    <w:rsid w:val="00EB321E"/>
    <w:rsid w:val="00EB397B"/>
    <w:rsid w:val="00EB4091"/>
    <w:rsid w:val="00EC1E7A"/>
    <w:rsid w:val="00EC5E17"/>
    <w:rsid w:val="00EC6A81"/>
    <w:rsid w:val="00ED0BEF"/>
    <w:rsid w:val="00ED79B5"/>
    <w:rsid w:val="00EE05BB"/>
    <w:rsid w:val="00EE0906"/>
    <w:rsid w:val="00EE31D6"/>
    <w:rsid w:val="00EE3C63"/>
    <w:rsid w:val="00EE6C5D"/>
    <w:rsid w:val="00EE7701"/>
    <w:rsid w:val="00EF2F39"/>
    <w:rsid w:val="00EF3241"/>
    <w:rsid w:val="00EF430D"/>
    <w:rsid w:val="00F03CE3"/>
    <w:rsid w:val="00F044E0"/>
    <w:rsid w:val="00F11FC0"/>
    <w:rsid w:val="00F13CC1"/>
    <w:rsid w:val="00F13D33"/>
    <w:rsid w:val="00F17657"/>
    <w:rsid w:val="00F21C53"/>
    <w:rsid w:val="00F24FBF"/>
    <w:rsid w:val="00F26D00"/>
    <w:rsid w:val="00F27C9E"/>
    <w:rsid w:val="00F31906"/>
    <w:rsid w:val="00F42F05"/>
    <w:rsid w:val="00F43CAF"/>
    <w:rsid w:val="00F46A59"/>
    <w:rsid w:val="00F50262"/>
    <w:rsid w:val="00F51743"/>
    <w:rsid w:val="00F52414"/>
    <w:rsid w:val="00F55031"/>
    <w:rsid w:val="00F5541F"/>
    <w:rsid w:val="00F57B41"/>
    <w:rsid w:val="00F6021B"/>
    <w:rsid w:val="00F61574"/>
    <w:rsid w:val="00F701E4"/>
    <w:rsid w:val="00F7069A"/>
    <w:rsid w:val="00F74AE8"/>
    <w:rsid w:val="00F74C00"/>
    <w:rsid w:val="00F82991"/>
    <w:rsid w:val="00F8410B"/>
    <w:rsid w:val="00F85195"/>
    <w:rsid w:val="00F91786"/>
    <w:rsid w:val="00F97EFF"/>
    <w:rsid w:val="00FA32F1"/>
    <w:rsid w:val="00FA3CC1"/>
    <w:rsid w:val="00FA42D9"/>
    <w:rsid w:val="00FA5652"/>
    <w:rsid w:val="00FB0FCA"/>
    <w:rsid w:val="00FB2749"/>
    <w:rsid w:val="00FB46C5"/>
    <w:rsid w:val="00FB49A8"/>
    <w:rsid w:val="00FB4D47"/>
    <w:rsid w:val="00FC4A77"/>
    <w:rsid w:val="00FC6ABB"/>
    <w:rsid w:val="00FD0EC2"/>
    <w:rsid w:val="00FD521C"/>
    <w:rsid w:val="00FD580C"/>
    <w:rsid w:val="00FE267C"/>
    <w:rsid w:val="00FE7A49"/>
    <w:rsid w:val="00FF3AEB"/>
    <w:rsid w:val="019B7D53"/>
    <w:rsid w:val="01DB7ED5"/>
    <w:rsid w:val="02827DCE"/>
    <w:rsid w:val="028419EC"/>
    <w:rsid w:val="02B96468"/>
    <w:rsid w:val="02C777CB"/>
    <w:rsid w:val="02D54924"/>
    <w:rsid w:val="02F1679D"/>
    <w:rsid w:val="03127E8C"/>
    <w:rsid w:val="03C129C2"/>
    <w:rsid w:val="04042704"/>
    <w:rsid w:val="045834B8"/>
    <w:rsid w:val="049D4E9E"/>
    <w:rsid w:val="04A840F7"/>
    <w:rsid w:val="054A55DB"/>
    <w:rsid w:val="05C56ED2"/>
    <w:rsid w:val="062D43AF"/>
    <w:rsid w:val="062E7290"/>
    <w:rsid w:val="066804D2"/>
    <w:rsid w:val="06F7296F"/>
    <w:rsid w:val="078862FE"/>
    <w:rsid w:val="08B60D54"/>
    <w:rsid w:val="08D00067"/>
    <w:rsid w:val="08F03C14"/>
    <w:rsid w:val="09285F12"/>
    <w:rsid w:val="09326139"/>
    <w:rsid w:val="09336B97"/>
    <w:rsid w:val="0A114160"/>
    <w:rsid w:val="0A5525B4"/>
    <w:rsid w:val="0A742CA7"/>
    <w:rsid w:val="0B24469B"/>
    <w:rsid w:val="0B377E69"/>
    <w:rsid w:val="0BB579E9"/>
    <w:rsid w:val="0BC741F5"/>
    <w:rsid w:val="0C133958"/>
    <w:rsid w:val="0C174059"/>
    <w:rsid w:val="0C452D84"/>
    <w:rsid w:val="0C4B003C"/>
    <w:rsid w:val="0C5172A2"/>
    <w:rsid w:val="0C9D11C1"/>
    <w:rsid w:val="0D2361FF"/>
    <w:rsid w:val="0D576A0D"/>
    <w:rsid w:val="0D833572"/>
    <w:rsid w:val="0DA01BCF"/>
    <w:rsid w:val="0DDE4CF9"/>
    <w:rsid w:val="0E8D5316"/>
    <w:rsid w:val="0F146881"/>
    <w:rsid w:val="0F290C66"/>
    <w:rsid w:val="0F8D1DC9"/>
    <w:rsid w:val="10A646FA"/>
    <w:rsid w:val="10BB2FEF"/>
    <w:rsid w:val="10BC7123"/>
    <w:rsid w:val="114C494B"/>
    <w:rsid w:val="11C425F8"/>
    <w:rsid w:val="12233C47"/>
    <w:rsid w:val="123E2FFB"/>
    <w:rsid w:val="12826CA4"/>
    <w:rsid w:val="12B4621E"/>
    <w:rsid w:val="12CD1ABC"/>
    <w:rsid w:val="12DA24B7"/>
    <w:rsid w:val="13141F14"/>
    <w:rsid w:val="1351434F"/>
    <w:rsid w:val="13595BA3"/>
    <w:rsid w:val="13F83012"/>
    <w:rsid w:val="148745E6"/>
    <w:rsid w:val="15306BD1"/>
    <w:rsid w:val="15690030"/>
    <w:rsid w:val="15713DA7"/>
    <w:rsid w:val="15871D72"/>
    <w:rsid w:val="1588048B"/>
    <w:rsid w:val="15AC73D0"/>
    <w:rsid w:val="15B8312E"/>
    <w:rsid w:val="15D52BEB"/>
    <w:rsid w:val="160D2CDF"/>
    <w:rsid w:val="163C4F8E"/>
    <w:rsid w:val="16C74AA4"/>
    <w:rsid w:val="16D67B68"/>
    <w:rsid w:val="171B54BE"/>
    <w:rsid w:val="174830EC"/>
    <w:rsid w:val="175E2CE2"/>
    <w:rsid w:val="17652A9A"/>
    <w:rsid w:val="185241B0"/>
    <w:rsid w:val="185C510E"/>
    <w:rsid w:val="18A436B6"/>
    <w:rsid w:val="18B12BA4"/>
    <w:rsid w:val="18E23ED6"/>
    <w:rsid w:val="191531CD"/>
    <w:rsid w:val="19246D19"/>
    <w:rsid w:val="196B7A85"/>
    <w:rsid w:val="19BB0E06"/>
    <w:rsid w:val="1A1815DD"/>
    <w:rsid w:val="1A1B135F"/>
    <w:rsid w:val="1A287679"/>
    <w:rsid w:val="1A9B0880"/>
    <w:rsid w:val="1AB74A15"/>
    <w:rsid w:val="1ACB460F"/>
    <w:rsid w:val="1B1E4231"/>
    <w:rsid w:val="1B733F75"/>
    <w:rsid w:val="1B80591D"/>
    <w:rsid w:val="1BC577D4"/>
    <w:rsid w:val="1C116426"/>
    <w:rsid w:val="1C20708A"/>
    <w:rsid w:val="1CF80391"/>
    <w:rsid w:val="1DDC7057"/>
    <w:rsid w:val="1E3F65B7"/>
    <w:rsid w:val="1E8151A6"/>
    <w:rsid w:val="1E9A2991"/>
    <w:rsid w:val="1EFB350D"/>
    <w:rsid w:val="1F045465"/>
    <w:rsid w:val="1F111E2B"/>
    <w:rsid w:val="1F263F4E"/>
    <w:rsid w:val="1F8A4FBC"/>
    <w:rsid w:val="1FD60312"/>
    <w:rsid w:val="1FFB5ABD"/>
    <w:rsid w:val="200B2D12"/>
    <w:rsid w:val="201E6206"/>
    <w:rsid w:val="207E5A0B"/>
    <w:rsid w:val="20C20786"/>
    <w:rsid w:val="21355853"/>
    <w:rsid w:val="213B4094"/>
    <w:rsid w:val="215533A8"/>
    <w:rsid w:val="218B501C"/>
    <w:rsid w:val="21B7738A"/>
    <w:rsid w:val="21D63B12"/>
    <w:rsid w:val="21F833AB"/>
    <w:rsid w:val="21F85509"/>
    <w:rsid w:val="22A71A58"/>
    <w:rsid w:val="22C4285A"/>
    <w:rsid w:val="23216806"/>
    <w:rsid w:val="23442EA4"/>
    <w:rsid w:val="238E22CA"/>
    <w:rsid w:val="23FB3C65"/>
    <w:rsid w:val="24214E80"/>
    <w:rsid w:val="247C6E9E"/>
    <w:rsid w:val="24D0099B"/>
    <w:rsid w:val="24FC7DF4"/>
    <w:rsid w:val="24FD433F"/>
    <w:rsid w:val="25365D32"/>
    <w:rsid w:val="25380AE2"/>
    <w:rsid w:val="25C1725E"/>
    <w:rsid w:val="25CF2749"/>
    <w:rsid w:val="26492DAF"/>
    <w:rsid w:val="26652DEC"/>
    <w:rsid w:val="26942C71"/>
    <w:rsid w:val="269D5FE9"/>
    <w:rsid w:val="275A34C6"/>
    <w:rsid w:val="27E47234"/>
    <w:rsid w:val="28595154"/>
    <w:rsid w:val="287926B5"/>
    <w:rsid w:val="28795BCE"/>
    <w:rsid w:val="29101722"/>
    <w:rsid w:val="29774207"/>
    <w:rsid w:val="29C04354"/>
    <w:rsid w:val="29C21F39"/>
    <w:rsid w:val="2A5F3191"/>
    <w:rsid w:val="2AA96A88"/>
    <w:rsid w:val="2ACB0237"/>
    <w:rsid w:val="2AE17E75"/>
    <w:rsid w:val="2B165956"/>
    <w:rsid w:val="2B380C36"/>
    <w:rsid w:val="2B3C72FC"/>
    <w:rsid w:val="2B471FB3"/>
    <w:rsid w:val="2B981EED"/>
    <w:rsid w:val="2BF437BD"/>
    <w:rsid w:val="2C151C5E"/>
    <w:rsid w:val="2C524CFD"/>
    <w:rsid w:val="2CA22DF9"/>
    <w:rsid w:val="2CA64350"/>
    <w:rsid w:val="2CAB58F1"/>
    <w:rsid w:val="2D0839C4"/>
    <w:rsid w:val="2D820DFF"/>
    <w:rsid w:val="2DB22278"/>
    <w:rsid w:val="2E70537D"/>
    <w:rsid w:val="2E8D6EDE"/>
    <w:rsid w:val="2E8E424D"/>
    <w:rsid w:val="2EAB0AAB"/>
    <w:rsid w:val="2EEA58E3"/>
    <w:rsid w:val="2F3050DA"/>
    <w:rsid w:val="2FC108BE"/>
    <w:rsid w:val="2FC66603"/>
    <w:rsid w:val="302C30B9"/>
    <w:rsid w:val="306C318C"/>
    <w:rsid w:val="30874370"/>
    <w:rsid w:val="309B0BC8"/>
    <w:rsid w:val="30C45E54"/>
    <w:rsid w:val="30C65728"/>
    <w:rsid w:val="30FE746D"/>
    <w:rsid w:val="31003359"/>
    <w:rsid w:val="3138340B"/>
    <w:rsid w:val="31697522"/>
    <w:rsid w:val="326F5B78"/>
    <w:rsid w:val="329E33D6"/>
    <w:rsid w:val="32C1314B"/>
    <w:rsid w:val="32CE6C34"/>
    <w:rsid w:val="330469DC"/>
    <w:rsid w:val="33756423"/>
    <w:rsid w:val="33904957"/>
    <w:rsid w:val="33C06FE7"/>
    <w:rsid w:val="341A779C"/>
    <w:rsid w:val="364019FD"/>
    <w:rsid w:val="367C2EBA"/>
    <w:rsid w:val="36FB00F6"/>
    <w:rsid w:val="377720D3"/>
    <w:rsid w:val="37D70D48"/>
    <w:rsid w:val="37F76D25"/>
    <w:rsid w:val="385F091F"/>
    <w:rsid w:val="38E2395F"/>
    <w:rsid w:val="39B049F1"/>
    <w:rsid w:val="39BF365D"/>
    <w:rsid w:val="39E44E71"/>
    <w:rsid w:val="39EE7A9E"/>
    <w:rsid w:val="3A0E1EEE"/>
    <w:rsid w:val="3A351B95"/>
    <w:rsid w:val="3AC945AD"/>
    <w:rsid w:val="3B1D688D"/>
    <w:rsid w:val="3B404329"/>
    <w:rsid w:val="3B4D24CB"/>
    <w:rsid w:val="3B4E1CDB"/>
    <w:rsid w:val="3B8629F3"/>
    <w:rsid w:val="3BDE0E41"/>
    <w:rsid w:val="3C3C64D0"/>
    <w:rsid w:val="3C522566"/>
    <w:rsid w:val="3C813741"/>
    <w:rsid w:val="3C986951"/>
    <w:rsid w:val="3CEB4763"/>
    <w:rsid w:val="3D234571"/>
    <w:rsid w:val="3D8A55BA"/>
    <w:rsid w:val="3D917728"/>
    <w:rsid w:val="3DCB40C0"/>
    <w:rsid w:val="3DE9514C"/>
    <w:rsid w:val="3E3C6410"/>
    <w:rsid w:val="3E51795E"/>
    <w:rsid w:val="3E93711C"/>
    <w:rsid w:val="3F26702D"/>
    <w:rsid w:val="3F81750E"/>
    <w:rsid w:val="3FB25F48"/>
    <w:rsid w:val="3FBE5711"/>
    <w:rsid w:val="3FDA5ECE"/>
    <w:rsid w:val="400C275B"/>
    <w:rsid w:val="40BC5D54"/>
    <w:rsid w:val="42293C97"/>
    <w:rsid w:val="428840CE"/>
    <w:rsid w:val="42C30390"/>
    <w:rsid w:val="43677D46"/>
    <w:rsid w:val="43D67960"/>
    <w:rsid w:val="440D693A"/>
    <w:rsid w:val="44294690"/>
    <w:rsid w:val="44A21D28"/>
    <w:rsid w:val="44D33D95"/>
    <w:rsid w:val="44EB4210"/>
    <w:rsid w:val="45E62B56"/>
    <w:rsid w:val="46501360"/>
    <w:rsid w:val="46D00C57"/>
    <w:rsid w:val="46D324F5"/>
    <w:rsid w:val="46DE70D4"/>
    <w:rsid w:val="47C339C4"/>
    <w:rsid w:val="47E22E96"/>
    <w:rsid w:val="47F70CC8"/>
    <w:rsid w:val="483C068A"/>
    <w:rsid w:val="48426F8F"/>
    <w:rsid w:val="485E7A76"/>
    <w:rsid w:val="48742B93"/>
    <w:rsid w:val="48D82B1B"/>
    <w:rsid w:val="49580B01"/>
    <w:rsid w:val="4A1E617D"/>
    <w:rsid w:val="4A266386"/>
    <w:rsid w:val="4A6302A6"/>
    <w:rsid w:val="4A791606"/>
    <w:rsid w:val="4AB918DA"/>
    <w:rsid w:val="4B187467"/>
    <w:rsid w:val="4B267DE1"/>
    <w:rsid w:val="4B280DE5"/>
    <w:rsid w:val="4B8B15F1"/>
    <w:rsid w:val="4BBA0A17"/>
    <w:rsid w:val="4BD67847"/>
    <w:rsid w:val="4BE07B8E"/>
    <w:rsid w:val="4BF25E27"/>
    <w:rsid w:val="4C3E6663"/>
    <w:rsid w:val="4C425828"/>
    <w:rsid w:val="4C997EA0"/>
    <w:rsid w:val="4CCF19B1"/>
    <w:rsid w:val="4CDB6416"/>
    <w:rsid w:val="4CFA4905"/>
    <w:rsid w:val="4D0D67A2"/>
    <w:rsid w:val="4D1937A1"/>
    <w:rsid w:val="4DDA685F"/>
    <w:rsid w:val="4DE962E2"/>
    <w:rsid w:val="4E564138"/>
    <w:rsid w:val="4E606D65"/>
    <w:rsid w:val="4E7B3B9E"/>
    <w:rsid w:val="4EE61474"/>
    <w:rsid w:val="4F0C733E"/>
    <w:rsid w:val="4F674193"/>
    <w:rsid w:val="4FB61B61"/>
    <w:rsid w:val="500C727E"/>
    <w:rsid w:val="500D78C9"/>
    <w:rsid w:val="508D7271"/>
    <w:rsid w:val="51826C71"/>
    <w:rsid w:val="51E662D0"/>
    <w:rsid w:val="51E66D8B"/>
    <w:rsid w:val="51E952C3"/>
    <w:rsid w:val="52057B53"/>
    <w:rsid w:val="5248023B"/>
    <w:rsid w:val="527D57D7"/>
    <w:rsid w:val="52B34984"/>
    <w:rsid w:val="533254A4"/>
    <w:rsid w:val="53357AA7"/>
    <w:rsid w:val="534D0FEA"/>
    <w:rsid w:val="5362660D"/>
    <w:rsid w:val="53854834"/>
    <w:rsid w:val="54AC447A"/>
    <w:rsid w:val="54D13CB7"/>
    <w:rsid w:val="54F16E41"/>
    <w:rsid w:val="553B6575"/>
    <w:rsid w:val="557B7E7B"/>
    <w:rsid w:val="55C054A3"/>
    <w:rsid w:val="55CD6A42"/>
    <w:rsid w:val="56521689"/>
    <w:rsid w:val="567638CA"/>
    <w:rsid w:val="569577C7"/>
    <w:rsid w:val="56F1653F"/>
    <w:rsid w:val="570F2D66"/>
    <w:rsid w:val="576D58DB"/>
    <w:rsid w:val="57BD2FDD"/>
    <w:rsid w:val="58650C44"/>
    <w:rsid w:val="58782833"/>
    <w:rsid w:val="58E51AB8"/>
    <w:rsid w:val="59376914"/>
    <w:rsid w:val="59542FD7"/>
    <w:rsid w:val="59AA3E3E"/>
    <w:rsid w:val="59F40CA9"/>
    <w:rsid w:val="5A013458"/>
    <w:rsid w:val="5A0A227A"/>
    <w:rsid w:val="5A18218B"/>
    <w:rsid w:val="5A1E67D6"/>
    <w:rsid w:val="5A6951E1"/>
    <w:rsid w:val="5A9828FD"/>
    <w:rsid w:val="5AE6127A"/>
    <w:rsid w:val="5B0D2C58"/>
    <w:rsid w:val="5BA87F9D"/>
    <w:rsid w:val="5C083CCA"/>
    <w:rsid w:val="5C626E82"/>
    <w:rsid w:val="5CA3458B"/>
    <w:rsid w:val="5CA6618B"/>
    <w:rsid w:val="5D1636D9"/>
    <w:rsid w:val="5D396777"/>
    <w:rsid w:val="5D5529C4"/>
    <w:rsid w:val="5D9321D6"/>
    <w:rsid w:val="5DA25D89"/>
    <w:rsid w:val="5DB36312"/>
    <w:rsid w:val="5DEF2C9A"/>
    <w:rsid w:val="5DFC1634"/>
    <w:rsid w:val="5E673AB2"/>
    <w:rsid w:val="5F0E139A"/>
    <w:rsid w:val="5F4C6E35"/>
    <w:rsid w:val="5F546472"/>
    <w:rsid w:val="5FB7149A"/>
    <w:rsid w:val="5FEF7EDE"/>
    <w:rsid w:val="60082DB8"/>
    <w:rsid w:val="60885CA7"/>
    <w:rsid w:val="609902FF"/>
    <w:rsid w:val="60CB745A"/>
    <w:rsid w:val="610151DC"/>
    <w:rsid w:val="61050ADF"/>
    <w:rsid w:val="61544345"/>
    <w:rsid w:val="61D4389A"/>
    <w:rsid w:val="61E0223F"/>
    <w:rsid w:val="620A3192"/>
    <w:rsid w:val="6239194F"/>
    <w:rsid w:val="62601AA6"/>
    <w:rsid w:val="628C37A5"/>
    <w:rsid w:val="62C938F7"/>
    <w:rsid w:val="62CE653B"/>
    <w:rsid w:val="62E420FF"/>
    <w:rsid w:val="63155F18"/>
    <w:rsid w:val="63311173"/>
    <w:rsid w:val="63351E52"/>
    <w:rsid w:val="6347009B"/>
    <w:rsid w:val="64202DC6"/>
    <w:rsid w:val="64E20214"/>
    <w:rsid w:val="64F1206D"/>
    <w:rsid w:val="654D1146"/>
    <w:rsid w:val="659351B4"/>
    <w:rsid w:val="65B15BFA"/>
    <w:rsid w:val="66504998"/>
    <w:rsid w:val="665B07C6"/>
    <w:rsid w:val="66EF3718"/>
    <w:rsid w:val="670C2BE4"/>
    <w:rsid w:val="671C56DB"/>
    <w:rsid w:val="676E209B"/>
    <w:rsid w:val="679B3CD0"/>
    <w:rsid w:val="67D24F01"/>
    <w:rsid w:val="67EF5014"/>
    <w:rsid w:val="68456E5B"/>
    <w:rsid w:val="686B753A"/>
    <w:rsid w:val="68885BB0"/>
    <w:rsid w:val="688D02FE"/>
    <w:rsid w:val="6902083B"/>
    <w:rsid w:val="69330AC2"/>
    <w:rsid w:val="694F2BF8"/>
    <w:rsid w:val="69823402"/>
    <w:rsid w:val="6A0A597F"/>
    <w:rsid w:val="6A6D78F5"/>
    <w:rsid w:val="6AA11FFE"/>
    <w:rsid w:val="6AD93CCF"/>
    <w:rsid w:val="6AE03C15"/>
    <w:rsid w:val="6B0A3FAC"/>
    <w:rsid w:val="6B59096C"/>
    <w:rsid w:val="6B9F6CC6"/>
    <w:rsid w:val="6BED679D"/>
    <w:rsid w:val="6C281294"/>
    <w:rsid w:val="6C423AF6"/>
    <w:rsid w:val="6C77379F"/>
    <w:rsid w:val="6D2E03F5"/>
    <w:rsid w:val="6D606870"/>
    <w:rsid w:val="6D6D4D1D"/>
    <w:rsid w:val="6D7952F5"/>
    <w:rsid w:val="6DD4077E"/>
    <w:rsid w:val="6E027DAD"/>
    <w:rsid w:val="6E092AB6"/>
    <w:rsid w:val="6E510679"/>
    <w:rsid w:val="6E9543B1"/>
    <w:rsid w:val="6EAD34A8"/>
    <w:rsid w:val="6ECE3D35"/>
    <w:rsid w:val="6ED0518A"/>
    <w:rsid w:val="6F3F6AAB"/>
    <w:rsid w:val="6F881820"/>
    <w:rsid w:val="700456B3"/>
    <w:rsid w:val="7059065A"/>
    <w:rsid w:val="709B7AA3"/>
    <w:rsid w:val="709D579F"/>
    <w:rsid w:val="70A22540"/>
    <w:rsid w:val="70DB6936"/>
    <w:rsid w:val="70E35296"/>
    <w:rsid w:val="7100081C"/>
    <w:rsid w:val="71003B2D"/>
    <w:rsid w:val="71236857"/>
    <w:rsid w:val="713E5355"/>
    <w:rsid w:val="71927784"/>
    <w:rsid w:val="72CD3791"/>
    <w:rsid w:val="738769C0"/>
    <w:rsid w:val="73A45C19"/>
    <w:rsid w:val="73FA42D5"/>
    <w:rsid w:val="744011C6"/>
    <w:rsid w:val="747E078C"/>
    <w:rsid w:val="7500013D"/>
    <w:rsid w:val="75090D5F"/>
    <w:rsid w:val="7592164A"/>
    <w:rsid w:val="75937F94"/>
    <w:rsid w:val="75D14AB7"/>
    <w:rsid w:val="76295D34"/>
    <w:rsid w:val="77356731"/>
    <w:rsid w:val="774426E0"/>
    <w:rsid w:val="77D77DB8"/>
    <w:rsid w:val="77E12415"/>
    <w:rsid w:val="78131D05"/>
    <w:rsid w:val="7859217F"/>
    <w:rsid w:val="78D742BA"/>
    <w:rsid w:val="78F62B79"/>
    <w:rsid w:val="78F759C0"/>
    <w:rsid w:val="79181E66"/>
    <w:rsid w:val="79274E18"/>
    <w:rsid w:val="792F7A0F"/>
    <w:rsid w:val="793F72D2"/>
    <w:rsid w:val="798D2356"/>
    <w:rsid w:val="79BD44C9"/>
    <w:rsid w:val="7A34668D"/>
    <w:rsid w:val="7A6633B4"/>
    <w:rsid w:val="7AAA11E4"/>
    <w:rsid w:val="7AC36605"/>
    <w:rsid w:val="7B2A69F9"/>
    <w:rsid w:val="7C467A1E"/>
    <w:rsid w:val="7C5A1C9F"/>
    <w:rsid w:val="7C6B1C3D"/>
    <w:rsid w:val="7CCB371D"/>
    <w:rsid w:val="7CF624BE"/>
    <w:rsid w:val="7D032E2D"/>
    <w:rsid w:val="7D4940DF"/>
    <w:rsid w:val="7D4C77ED"/>
    <w:rsid w:val="7D4E40A8"/>
    <w:rsid w:val="7D523A71"/>
    <w:rsid w:val="7D846762"/>
    <w:rsid w:val="7E2D1F10"/>
    <w:rsid w:val="7E520D87"/>
    <w:rsid w:val="7E5356EF"/>
    <w:rsid w:val="7E926672"/>
    <w:rsid w:val="7F497EBC"/>
    <w:rsid w:val="7F54174D"/>
    <w:rsid w:val="7F567F7A"/>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100" w:after="100"/>
      <w:jc w:val="center"/>
      <w:outlineLvl w:val="0"/>
    </w:pPr>
    <w:rPr>
      <w:b/>
      <w:bCs/>
      <w:kern w:val="44"/>
      <w:sz w:val="32"/>
      <w:szCs w:val="44"/>
    </w:rPr>
  </w:style>
  <w:style w:type="paragraph" w:styleId="4">
    <w:name w:val="heading 2"/>
    <w:basedOn w:val="1"/>
    <w:next w:val="1"/>
    <w:link w:val="4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4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 w:type="paragraph" w:styleId="6">
    <w:name w:val="Normal Indent"/>
    <w:basedOn w:val="1"/>
    <w:link w:val="32"/>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7"/>
    <w:qFormat/>
    <w:uiPriority w:val="0"/>
    <w:rPr>
      <w:rFonts w:ascii="宋体"/>
      <w:sz w:val="18"/>
      <w:szCs w:val="18"/>
    </w:rPr>
  </w:style>
  <w:style w:type="paragraph" w:styleId="8">
    <w:name w:val="annotation text"/>
    <w:basedOn w:val="1"/>
    <w:link w:val="34"/>
    <w:unhideWhenUsed/>
    <w:qFormat/>
    <w:uiPriority w:val="0"/>
    <w:pPr>
      <w:jc w:val="left"/>
    </w:pPr>
  </w:style>
  <w:style w:type="paragraph" w:styleId="9">
    <w:name w:val="Body Text"/>
    <w:basedOn w:val="1"/>
    <w:link w:val="39"/>
    <w:qFormat/>
    <w:uiPriority w:val="0"/>
    <w:pPr>
      <w:tabs>
        <w:tab w:val="left" w:pos="567"/>
      </w:tabs>
      <w:spacing w:before="120" w:line="22" w:lineRule="atLeast"/>
    </w:pPr>
    <w:rPr>
      <w:rFonts w:ascii="宋体" w:hAnsi="宋体"/>
      <w:sz w:val="24"/>
    </w:rPr>
  </w:style>
  <w:style w:type="paragraph" w:styleId="10">
    <w:name w:val="Body Text Indent"/>
    <w:basedOn w:val="1"/>
    <w:link w:val="38"/>
    <w:qFormat/>
    <w:uiPriority w:val="0"/>
    <w:pPr>
      <w:spacing w:after="120"/>
      <w:ind w:left="420" w:leftChars="200"/>
    </w:p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49"/>
    <w:qFormat/>
    <w:uiPriority w:val="0"/>
    <w:rPr>
      <w:rFonts w:ascii="宋体" w:hAnsi="Courier New"/>
      <w:szCs w:val="20"/>
    </w:rPr>
  </w:style>
  <w:style w:type="paragraph" w:styleId="13">
    <w:name w:val="Body Text Indent 2"/>
    <w:basedOn w:val="1"/>
    <w:link w:val="50"/>
    <w:qFormat/>
    <w:uiPriority w:val="0"/>
    <w:pPr>
      <w:spacing w:after="120" w:line="480" w:lineRule="auto"/>
      <w:ind w:left="420" w:leftChars="200"/>
    </w:pPr>
  </w:style>
  <w:style w:type="paragraph" w:styleId="14">
    <w:name w:val="Balloon Text"/>
    <w:basedOn w:val="1"/>
    <w:link w:val="48"/>
    <w:semiHidden/>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0">
    <w:name w:val="index 1"/>
    <w:basedOn w:val="1"/>
    <w:next w:val="1"/>
    <w:semiHidden/>
    <w:qFormat/>
    <w:uiPriority w:val="0"/>
    <w:rPr>
      <w:szCs w:val="20"/>
    </w:rPr>
  </w:style>
  <w:style w:type="paragraph" w:styleId="21">
    <w:name w:val="annotation subject"/>
    <w:basedOn w:val="8"/>
    <w:next w:val="8"/>
    <w:link w:val="33"/>
    <w:semiHidden/>
    <w:qFormat/>
    <w:uiPriority w:val="0"/>
    <w:rPr>
      <w:b/>
      <w:bCs/>
    </w:rPr>
  </w:style>
  <w:style w:type="paragraph" w:styleId="22">
    <w:name w:val="Body Text First Indent"/>
    <w:basedOn w:val="9"/>
    <w:link w:val="47"/>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文档结构图 Char1"/>
    <w:basedOn w:val="24"/>
    <w:semiHidden/>
    <w:qFormat/>
    <w:uiPriority w:val="99"/>
    <w:rPr>
      <w:rFonts w:ascii="宋体" w:hAnsi="Times New Roman"/>
      <w:kern w:val="2"/>
      <w:sz w:val="18"/>
      <w:szCs w:val="18"/>
    </w:rPr>
  </w:style>
  <w:style w:type="character" w:customStyle="1" w:styleId="31">
    <w:name w:val="标题 1 字符"/>
    <w:basedOn w:val="24"/>
    <w:link w:val="3"/>
    <w:qFormat/>
    <w:uiPriority w:val="0"/>
    <w:rPr>
      <w:rFonts w:ascii="Times New Roman" w:hAnsi="Times New Roman"/>
      <w:b/>
      <w:bCs/>
      <w:kern w:val="44"/>
      <w:sz w:val="32"/>
      <w:szCs w:val="44"/>
    </w:rPr>
  </w:style>
  <w:style w:type="character" w:customStyle="1" w:styleId="32">
    <w:name w:val="正文缩进 字符"/>
    <w:link w:val="6"/>
    <w:qFormat/>
    <w:uiPriority w:val="0"/>
    <w:rPr>
      <w:rFonts w:ascii="宋体"/>
      <w:sz w:val="24"/>
    </w:rPr>
  </w:style>
  <w:style w:type="character" w:customStyle="1" w:styleId="33">
    <w:name w:val="批注主题 字符"/>
    <w:basedOn w:val="34"/>
    <w:link w:val="21"/>
    <w:semiHidden/>
    <w:qFormat/>
    <w:uiPriority w:val="0"/>
    <w:rPr>
      <w:rFonts w:ascii="Times New Roman" w:hAnsi="Times New Roman"/>
      <w:b/>
      <w:bCs/>
      <w:kern w:val="2"/>
      <w:sz w:val="21"/>
      <w:szCs w:val="24"/>
    </w:rPr>
  </w:style>
  <w:style w:type="character" w:customStyle="1" w:styleId="34">
    <w:name w:val="批注文字 字符"/>
    <w:basedOn w:val="24"/>
    <w:link w:val="8"/>
    <w:qFormat/>
    <w:uiPriority w:val="0"/>
    <w:rPr>
      <w:rFonts w:ascii="Times New Roman" w:hAnsi="Times New Roman"/>
      <w:kern w:val="2"/>
      <w:sz w:val="21"/>
      <w:szCs w:val="24"/>
    </w:rPr>
  </w:style>
  <w:style w:type="character" w:customStyle="1" w:styleId="35">
    <w:name w:val="页眉 字符"/>
    <w:basedOn w:val="24"/>
    <w:link w:val="16"/>
    <w:qFormat/>
    <w:uiPriority w:val="0"/>
    <w:rPr>
      <w:rFonts w:ascii="Times New Roman" w:hAnsi="Times New Roman"/>
      <w:kern w:val="2"/>
      <w:sz w:val="18"/>
      <w:szCs w:val="18"/>
    </w:rPr>
  </w:style>
  <w:style w:type="character" w:customStyle="1" w:styleId="36">
    <w:name w:val="apple-converted-space"/>
    <w:qFormat/>
    <w:uiPriority w:val="0"/>
  </w:style>
  <w:style w:type="character" w:customStyle="1" w:styleId="37">
    <w:name w:val="文档结构图 字符"/>
    <w:link w:val="7"/>
    <w:qFormat/>
    <w:uiPriority w:val="0"/>
    <w:rPr>
      <w:rFonts w:ascii="宋体"/>
      <w:kern w:val="2"/>
      <w:sz w:val="18"/>
      <w:szCs w:val="18"/>
    </w:rPr>
  </w:style>
  <w:style w:type="character" w:customStyle="1" w:styleId="38">
    <w:name w:val="正文文本缩进 字符"/>
    <w:basedOn w:val="24"/>
    <w:link w:val="10"/>
    <w:qFormat/>
    <w:uiPriority w:val="0"/>
    <w:rPr>
      <w:rFonts w:ascii="Times New Roman" w:hAnsi="Times New Roman"/>
      <w:kern w:val="2"/>
      <w:sz w:val="21"/>
      <w:szCs w:val="24"/>
    </w:rPr>
  </w:style>
  <w:style w:type="character" w:customStyle="1" w:styleId="39">
    <w:name w:val="正文文本 字符"/>
    <w:basedOn w:val="24"/>
    <w:link w:val="9"/>
    <w:qFormat/>
    <w:uiPriority w:val="0"/>
    <w:rPr>
      <w:rFonts w:ascii="宋体" w:hAnsi="宋体"/>
      <w:kern w:val="2"/>
      <w:sz w:val="24"/>
      <w:szCs w:val="24"/>
    </w:rPr>
  </w:style>
  <w:style w:type="character" w:customStyle="1" w:styleId="40">
    <w:name w:val="页脚 字符"/>
    <w:basedOn w:val="24"/>
    <w:link w:val="15"/>
    <w:qFormat/>
    <w:uiPriority w:val="0"/>
    <w:rPr>
      <w:rFonts w:ascii="Times New Roman" w:hAnsi="Times New Roman"/>
      <w:kern w:val="2"/>
      <w:sz w:val="18"/>
      <w:szCs w:val="18"/>
    </w:rPr>
  </w:style>
  <w:style w:type="character" w:customStyle="1" w:styleId="41">
    <w:name w:val="标题 2 字符"/>
    <w:basedOn w:val="24"/>
    <w:link w:val="4"/>
    <w:qFormat/>
    <w:uiPriority w:val="0"/>
    <w:rPr>
      <w:rFonts w:ascii="Arial" w:hAnsi="Arial"/>
      <w:b/>
      <w:sz w:val="32"/>
    </w:rPr>
  </w:style>
  <w:style w:type="character" w:customStyle="1" w:styleId="42">
    <w:name w:val="样式（正文） Char"/>
    <w:link w:val="43"/>
    <w:qFormat/>
    <w:locked/>
    <w:uiPriority w:val="0"/>
    <w:rPr>
      <w:rFonts w:ascii="宋体" w:hAnsi="宋体"/>
      <w:kern w:val="2"/>
      <w:sz w:val="24"/>
      <w:szCs w:val="22"/>
    </w:rPr>
  </w:style>
  <w:style w:type="paragraph" w:customStyle="1" w:styleId="43">
    <w:name w:val="样式（正文）"/>
    <w:basedOn w:val="1"/>
    <w:link w:val="42"/>
    <w:qFormat/>
    <w:uiPriority w:val="0"/>
    <w:pPr>
      <w:spacing w:line="360" w:lineRule="auto"/>
      <w:ind w:firstLine="200" w:firstLineChars="200"/>
    </w:pPr>
    <w:rPr>
      <w:rFonts w:ascii="宋体" w:hAnsi="宋体"/>
      <w:sz w:val="24"/>
      <w:szCs w:val="22"/>
    </w:rPr>
  </w:style>
  <w:style w:type="character" w:customStyle="1" w:styleId="44">
    <w:name w:val="标题 3 字符"/>
    <w:basedOn w:val="24"/>
    <w:link w:val="5"/>
    <w:qFormat/>
    <w:uiPriority w:val="0"/>
    <w:rPr>
      <w:rFonts w:ascii="宋体" w:hAnsi="Times New Roman"/>
      <w:b/>
      <w:sz w:val="24"/>
    </w:rPr>
  </w:style>
  <w:style w:type="character" w:customStyle="1" w:styleId="45">
    <w:name w:val="纯文本 Char"/>
    <w:basedOn w:val="24"/>
    <w:qFormat/>
    <w:uiPriority w:val="0"/>
    <w:rPr>
      <w:rFonts w:ascii="宋体" w:hAnsi="Courier New" w:cs="Courier New"/>
      <w:kern w:val="2"/>
      <w:sz w:val="21"/>
      <w:szCs w:val="21"/>
    </w:rPr>
  </w:style>
  <w:style w:type="character" w:customStyle="1" w:styleId="46">
    <w:name w:val="纯文本 Char1"/>
    <w:qFormat/>
    <w:uiPriority w:val="0"/>
    <w:rPr>
      <w:rFonts w:ascii="宋体" w:hAnsi="Courier New"/>
      <w:kern w:val="2"/>
      <w:sz w:val="21"/>
    </w:rPr>
  </w:style>
  <w:style w:type="character" w:customStyle="1" w:styleId="47">
    <w:name w:val="正文文本首行缩进 字符"/>
    <w:basedOn w:val="39"/>
    <w:link w:val="22"/>
    <w:semiHidden/>
    <w:qFormat/>
    <w:uiPriority w:val="99"/>
    <w:rPr>
      <w:rFonts w:ascii="宋体" w:hAnsi="宋体"/>
      <w:kern w:val="2"/>
      <w:sz w:val="21"/>
      <w:szCs w:val="24"/>
    </w:rPr>
  </w:style>
  <w:style w:type="character" w:customStyle="1" w:styleId="48">
    <w:name w:val="批注框文本 字符"/>
    <w:basedOn w:val="24"/>
    <w:link w:val="14"/>
    <w:semiHidden/>
    <w:qFormat/>
    <w:uiPriority w:val="0"/>
    <w:rPr>
      <w:rFonts w:ascii="Times New Roman" w:hAnsi="Times New Roman"/>
      <w:kern w:val="2"/>
      <w:sz w:val="18"/>
      <w:szCs w:val="18"/>
    </w:rPr>
  </w:style>
  <w:style w:type="character" w:customStyle="1" w:styleId="49">
    <w:name w:val="纯文本 字符"/>
    <w:basedOn w:val="24"/>
    <w:link w:val="12"/>
    <w:qFormat/>
    <w:uiPriority w:val="0"/>
    <w:rPr>
      <w:rFonts w:hint="eastAsia" w:ascii="宋体" w:hAnsi="Courier New" w:eastAsia="宋体" w:cs="Courier New"/>
      <w:kern w:val="2"/>
      <w:sz w:val="21"/>
      <w:szCs w:val="21"/>
    </w:rPr>
  </w:style>
  <w:style w:type="character" w:customStyle="1" w:styleId="50">
    <w:name w:val="正文文本缩进 2 字符"/>
    <w:basedOn w:val="24"/>
    <w:link w:val="13"/>
    <w:qFormat/>
    <w:uiPriority w:val="0"/>
    <w:rPr>
      <w:rFonts w:ascii="Times New Roman" w:hAnsi="Times New Roman"/>
      <w:kern w:val="2"/>
      <w:sz w:val="21"/>
      <w:szCs w:val="24"/>
    </w:rPr>
  </w:style>
  <w:style w:type="paragraph" w:styleId="51">
    <w:name w:val="List Paragraph"/>
    <w:basedOn w:val="1"/>
    <w:qFormat/>
    <w:uiPriority w:val="99"/>
    <w:pPr>
      <w:ind w:firstLine="420" w:firstLineChars="200"/>
    </w:pPr>
    <w:rPr>
      <w:rFonts w:ascii="Calibri" w:hAnsi="Calibri"/>
      <w:szCs w:val="22"/>
    </w:rPr>
  </w:style>
  <w:style w:type="paragraph" w:customStyle="1" w:styleId="52">
    <w:name w:val="Char1"/>
    <w:basedOn w:val="1"/>
    <w:qFormat/>
    <w:uiPriority w:val="0"/>
    <w:rPr>
      <w:rFonts w:ascii="Tahoma" w:hAnsi="Tahoma"/>
      <w:sz w:val="24"/>
      <w:szCs w:val="20"/>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样式1"/>
    <w:basedOn w:val="5"/>
    <w:qFormat/>
    <w:uiPriority w:val="0"/>
    <w:pPr>
      <w:jc w:val="center"/>
    </w:pPr>
  </w:style>
  <w:style w:type="paragraph" w:customStyle="1" w:styleId="55">
    <w:name w:val="列出段落1"/>
    <w:basedOn w:val="1"/>
    <w:qFormat/>
    <w:uiPriority w:val="0"/>
    <w:pPr>
      <w:spacing w:line="300" w:lineRule="auto"/>
      <w:ind w:firstLine="420" w:firstLineChars="200"/>
    </w:pPr>
    <w:rPr>
      <w:sz w:val="24"/>
    </w:rPr>
  </w:style>
  <w:style w:type="paragraph" w:customStyle="1" w:styleId="56">
    <w:name w:val="Char"/>
    <w:basedOn w:val="1"/>
    <w:next w:val="1"/>
    <w:qFormat/>
    <w:uiPriority w:val="0"/>
    <w:pPr>
      <w:widowControl/>
      <w:spacing w:line="360" w:lineRule="auto"/>
      <w:jc w:val="left"/>
    </w:pPr>
    <w:rPr>
      <w:kern w:val="0"/>
      <w:szCs w:val="20"/>
      <w:lang w:eastAsia="en-US"/>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Char2"/>
    <w:basedOn w:val="1"/>
    <w:qFormat/>
    <w:uiPriority w:val="0"/>
    <w:pPr>
      <w:tabs>
        <w:tab w:val="left" w:pos="432"/>
      </w:tabs>
      <w:spacing w:beforeLines="50" w:afterLines="50"/>
      <w:ind w:left="864" w:hanging="432"/>
    </w:pPr>
    <w:rPr>
      <w:sz w:val="24"/>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样式 标题 2 + 段后: 156 磅"/>
    <w:basedOn w:val="4"/>
    <w:qFormat/>
    <w:uiPriority w:val="0"/>
    <w:pPr>
      <w:spacing w:before="100" w:after="100" w:line="240" w:lineRule="auto"/>
    </w:pPr>
    <w:rPr>
      <w:rFonts w:cs="宋体"/>
      <w:bCs/>
      <w:sz w:val="30"/>
    </w:rPr>
  </w:style>
  <w:style w:type="paragraph" w:customStyle="1" w:styleId="64">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198-BAAA-4F5D-8526-9A8CC6781C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16501</Words>
  <Characters>17812</Characters>
  <Lines>149</Lines>
  <Paragraphs>42</Paragraphs>
  <TotalTime>17</TotalTime>
  <ScaleCrop>false</ScaleCrop>
  <LinksUpToDate>false</LinksUpToDate>
  <CharactersWithSpaces>20404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2018-07-09T00:29:00Z</dcterms:created>
  <dc:creator>微软用户</dc:creator>
  <cp:lastModifiedBy>随便</cp:lastModifiedBy>
  <cp:lastPrinted>2018-05-11T08:28:00Z</cp:lastPrinted>
  <dcterms:modified xsi:type="dcterms:W3CDTF">2022-11-14T09:28:47Z</dcterms:modified>
  <dc:title>安庆市社会服务管理信息化平台建设</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E5584DD920B445CD9937E699FCA88BF7</vt:lpwstr>
  </property>
</Properties>
</file>