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bookmarkStart w:id="0" w:name="_Hlk52187232"/>
      <w:bookmarkStart w:id="4" w:name="_GoBack"/>
      <w:bookmarkEnd w:id="4"/>
      <w:r>
        <w:rPr>
          <w:rFonts w:hint="eastAsia" w:ascii="方正小标宋简体" w:eastAsia="方正小标宋简体"/>
          <w:sz w:val="36"/>
          <w:szCs w:val="36"/>
        </w:rPr>
        <w:t>目  录</w:t>
      </w:r>
    </w:p>
    <w:p>
      <w:pPr>
        <w:snapToGrid w:val="0"/>
        <w:spacing w:line="280" w:lineRule="exact"/>
        <w:rPr>
          <w:rFonts w:ascii="仿宋_GB2312" w:eastAsia="仿宋_GB2312"/>
          <w:b/>
          <w:sz w:val="32"/>
          <w:szCs w:val="32"/>
        </w:rPr>
      </w:pPr>
    </w:p>
    <w:p>
      <w:pPr>
        <w:snapToGrid w:val="0"/>
        <w:spacing w:line="480" w:lineRule="exact"/>
        <w:rPr>
          <w:rFonts w:ascii="黑体" w:hAnsi="黑体" w:eastAsia="黑体"/>
          <w:sz w:val="32"/>
          <w:szCs w:val="32"/>
        </w:rPr>
      </w:pPr>
      <w:r>
        <w:rPr>
          <w:rFonts w:hint="eastAsia" w:ascii="黑体" w:hAnsi="黑体" w:eastAsia="黑体"/>
          <w:sz w:val="32"/>
          <w:szCs w:val="32"/>
        </w:rPr>
        <w:t>一、专业名称与专业代码</w:t>
      </w:r>
    </w:p>
    <w:p>
      <w:pPr>
        <w:snapToGrid w:val="0"/>
        <w:spacing w:line="480" w:lineRule="exact"/>
        <w:rPr>
          <w:rFonts w:ascii="黑体" w:hAnsi="黑体" w:eastAsia="黑体"/>
          <w:sz w:val="32"/>
          <w:szCs w:val="32"/>
        </w:rPr>
      </w:pPr>
      <w:r>
        <w:rPr>
          <w:rFonts w:hint="eastAsia" w:ascii="黑体" w:hAnsi="黑体" w:eastAsia="黑体"/>
          <w:sz w:val="32"/>
          <w:szCs w:val="32"/>
        </w:rPr>
        <w:t>二、教育类型及学历层次</w:t>
      </w:r>
    </w:p>
    <w:p>
      <w:pPr>
        <w:snapToGrid w:val="0"/>
        <w:spacing w:line="480" w:lineRule="exact"/>
        <w:rPr>
          <w:rFonts w:ascii="黑体" w:hAnsi="黑体" w:eastAsia="黑体"/>
          <w:sz w:val="32"/>
          <w:szCs w:val="32"/>
        </w:rPr>
      </w:pPr>
      <w:r>
        <w:rPr>
          <w:rFonts w:hint="eastAsia" w:ascii="黑体" w:hAnsi="黑体" w:eastAsia="黑体"/>
          <w:sz w:val="32"/>
          <w:szCs w:val="32"/>
        </w:rPr>
        <w:t>三、入学要求</w:t>
      </w:r>
    </w:p>
    <w:p>
      <w:pPr>
        <w:overflowPunct w:val="0"/>
        <w:adjustRightInd w:val="0"/>
        <w:snapToGrid w:val="0"/>
        <w:spacing w:line="480" w:lineRule="exact"/>
        <w:outlineLvl w:val="0"/>
        <w:rPr>
          <w:rFonts w:ascii="黑体" w:hAnsi="黑体" w:eastAsia="黑体"/>
          <w:sz w:val="32"/>
          <w:szCs w:val="32"/>
        </w:rPr>
      </w:pPr>
      <w:r>
        <w:rPr>
          <w:rFonts w:hint="eastAsia" w:ascii="黑体" w:hAnsi="黑体" w:eastAsia="黑体"/>
          <w:sz w:val="32"/>
          <w:szCs w:val="32"/>
        </w:rPr>
        <w:t>四、修业年限</w:t>
      </w:r>
    </w:p>
    <w:p>
      <w:pPr>
        <w:snapToGrid w:val="0"/>
        <w:spacing w:line="480" w:lineRule="exact"/>
        <w:rPr>
          <w:rFonts w:ascii="黑体" w:hAnsi="黑体" w:eastAsia="黑体"/>
          <w:sz w:val="32"/>
          <w:szCs w:val="32"/>
        </w:rPr>
      </w:pPr>
      <w:r>
        <w:rPr>
          <w:rFonts w:hint="eastAsia" w:ascii="黑体" w:hAnsi="黑体" w:eastAsia="黑体"/>
          <w:sz w:val="32"/>
          <w:szCs w:val="32"/>
        </w:rPr>
        <w:t>五、职业岗位</w:t>
      </w:r>
    </w:p>
    <w:p>
      <w:pPr>
        <w:snapToGrid w:val="0"/>
        <w:spacing w:line="480" w:lineRule="exact"/>
        <w:rPr>
          <w:rFonts w:ascii="仿宋_GB2312" w:hAnsi="黑体" w:eastAsia="仿宋_GB2312"/>
          <w:sz w:val="32"/>
          <w:szCs w:val="32"/>
        </w:rPr>
      </w:pPr>
      <w:r>
        <w:rPr>
          <w:rFonts w:hint="eastAsia" w:ascii="仿宋_GB2312" w:eastAsia="仿宋_GB2312"/>
          <w:sz w:val="32"/>
          <w:szCs w:val="32"/>
        </w:rPr>
        <w:t xml:space="preserve">   </w:t>
      </w:r>
      <w:r>
        <w:rPr>
          <w:rFonts w:hint="eastAsia" w:ascii="仿宋_GB2312" w:hAnsi="黑体" w:eastAsia="仿宋_GB2312"/>
          <w:sz w:val="32"/>
          <w:szCs w:val="32"/>
        </w:rPr>
        <w:t>（一）职业面向</w:t>
      </w:r>
    </w:p>
    <w:p>
      <w:pPr>
        <w:snapToGrid w:val="0"/>
        <w:spacing w:line="480" w:lineRule="exact"/>
        <w:ind w:firstLine="480" w:firstLineChars="150"/>
        <w:rPr>
          <w:rFonts w:ascii="仿宋_GB2312" w:hAnsi="黑体" w:eastAsia="仿宋_GB2312"/>
          <w:sz w:val="32"/>
          <w:szCs w:val="32"/>
        </w:rPr>
      </w:pPr>
      <w:r>
        <w:rPr>
          <w:rFonts w:hint="eastAsia" w:ascii="仿宋_GB2312" w:hAnsi="黑体" w:eastAsia="仿宋_GB2312"/>
          <w:sz w:val="32"/>
          <w:szCs w:val="32"/>
        </w:rPr>
        <w:t>（二）工作岗位</w:t>
      </w:r>
    </w:p>
    <w:p>
      <w:pPr>
        <w:snapToGrid w:val="0"/>
        <w:spacing w:line="480" w:lineRule="exact"/>
        <w:ind w:firstLine="480" w:firstLineChars="150"/>
        <w:rPr>
          <w:rFonts w:ascii="仿宋_GB2312" w:hAnsi="黑体" w:eastAsia="仿宋_GB2312"/>
          <w:sz w:val="32"/>
          <w:szCs w:val="32"/>
        </w:rPr>
      </w:pPr>
      <w:r>
        <w:rPr>
          <w:rFonts w:hint="eastAsia" w:ascii="仿宋_GB2312" w:hAnsi="黑体" w:eastAsia="仿宋_GB2312"/>
          <w:sz w:val="32"/>
          <w:szCs w:val="32"/>
        </w:rPr>
        <w:t>（三）工作任务与职业能力分解表</w:t>
      </w:r>
    </w:p>
    <w:p>
      <w:pPr>
        <w:snapToGrid w:val="0"/>
        <w:spacing w:line="480" w:lineRule="exact"/>
        <w:rPr>
          <w:rFonts w:ascii="黑体" w:hAnsi="黑体" w:eastAsia="黑体"/>
          <w:sz w:val="32"/>
          <w:szCs w:val="32"/>
        </w:rPr>
      </w:pPr>
      <w:r>
        <w:rPr>
          <w:rFonts w:hint="eastAsia" w:ascii="黑体" w:hAnsi="黑体" w:eastAsia="黑体"/>
          <w:sz w:val="32"/>
          <w:szCs w:val="32"/>
        </w:rPr>
        <w:t>六、培养目标及规格</w:t>
      </w:r>
    </w:p>
    <w:p>
      <w:pPr>
        <w:snapToGrid w:val="0"/>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（一）培养目标</w:t>
      </w:r>
    </w:p>
    <w:p>
      <w:pPr>
        <w:snapToGrid w:val="0"/>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（二）人才规格</w:t>
      </w:r>
    </w:p>
    <w:p>
      <w:pPr>
        <w:snapToGrid w:val="0"/>
        <w:spacing w:line="480" w:lineRule="exact"/>
        <w:rPr>
          <w:rFonts w:ascii="黑体" w:hAnsi="黑体" w:eastAsia="黑体"/>
          <w:sz w:val="32"/>
          <w:szCs w:val="32"/>
        </w:rPr>
      </w:pPr>
      <w:r>
        <w:rPr>
          <w:rFonts w:hint="eastAsia" w:ascii="黑体" w:hAnsi="黑体" w:eastAsia="黑体"/>
          <w:sz w:val="32"/>
          <w:szCs w:val="32"/>
        </w:rPr>
        <w:t>七、课程体系</w:t>
      </w:r>
    </w:p>
    <w:p>
      <w:pPr>
        <w:snapToGrid w:val="0"/>
        <w:spacing w:line="480" w:lineRule="exact"/>
        <w:rPr>
          <w:rFonts w:ascii="黑体" w:hAnsi="黑体" w:eastAsia="黑体"/>
          <w:sz w:val="32"/>
          <w:szCs w:val="32"/>
        </w:rPr>
      </w:pPr>
      <w:r>
        <w:rPr>
          <w:rFonts w:hint="eastAsia" w:ascii="黑体" w:hAnsi="黑体" w:eastAsia="黑体"/>
          <w:sz w:val="32"/>
          <w:szCs w:val="32"/>
        </w:rPr>
        <w:t>八、课程描述</w:t>
      </w:r>
    </w:p>
    <w:p>
      <w:pPr>
        <w:snapToGrid w:val="0"/>
        <w:spacing w:line="480" w:lineRule="exact"/>
        <w:rPr>
          <w:rFonts w:ascii="黑体" w:hAnsi="黑体" w:eastAsia="黑体"/>
          <w:sz w:val="32"/>
          <w:szCs w:val="32"/>
        </w:rPr>
      </w:pPr>
      <w:r>
        <w:rPr>
          <w:rFonts w:hint="eastAsia" w:ascii="黑体" w:hAnsi="黑体" w:eastAsia="黑体"/>
          <w:sz w:val="32"/>
          <w:szCs w:val="32"/>
        </w:rPr>
        <w:t>九、实施保障</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（一）师资队伍</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（二）教学设施</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（三）教学资源</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（四）教学方法</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（五）学习评价</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（六）质量管理</w:t>
      </w:r>
    </w:p>
    <w:p>
      <w:pPr>
        <w:snapToGrid w:val="0"/>
        <w:spacing w:line="480" w:lineRule="exact"/>
        <w:rPr>
          <w:rFonts w:ascii="黑体" w:hAnsi="黑体" w:eastAsia="黑体"/>
          <w:sz w:val="32"/>
          <w:szCs w:val="32"/>
        </w:rPr>
      </w:pPr>
      <w:r>
        <w:rPr>
          <w:rFonts w:hint="eastAsia" w:ascii="黑体" w:hAnsi="黑体" w:eastAsia="黑体"/>
          <w:sz w:val="32"/>
          <w:szCs w:val="32"/>
        </w:rPr>
        <w:t>十、毕业资格与要求</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（一）学时或学分要求</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（二）第二课堂要求</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（三）“X”证书要求或职业资格证书</w:t>
      </w:r>
    </w:p>
    <w:p>
      <w:pPr>
        <w:snapToGrid w:val="0"/>
        <w:spacing w:line="480" w:lineRule="exact"/>
        <w:rPr>
          <w:rFonts w:ascii="黑体" w:hAnsi="黑体" w:eastAsia="黑体"/>
          <w:sz w:val="32"/>
          <w:szCs w:val="32"/>
        </w:rPr>
      </w:pPr>
      <w:r>
        <w:rPr>
          <w:rFonts w:hint="eastAsia" w:ascii="黑体" w:hAnsi="黑体" w:eastAsia="黑体"/>
          <w:sz w:val="32"/>
          <w:szCs w:val="32"/>
        </w:rPr>
        <w:t>十一、教学进程安排</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（一）公共基础课程教学进程表</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（二）专业（技术）课程教学进程表</w:t>
      </w:r>
    </w:p>
    <w:p>
      <w:pPr>
        <w:snapToGrid w:val="0"/>
        <w:spacing w:line="480" w:lineRule="exact"/>
        <w:ind w:firstLine="480"/>
        <w:rPr>
          <w:rFonts w:ascii="仿宋_GB2312" w:hAnsi="黑体" w:eastAsia="仿宋_GB2312"/>
          <w:sz w:val="32"/>
          <w:szCs w:val="32"/>
        </w:rPr>
      </w:pPr>
      <w:r>
        <w:rPr>
          <w:rFonts w:hint="eastAsia" w:ascii="仿宋_GB2312" w:hAnsi="黑体" w:eastAsia="仿宋_GB2312"/>
          <w:sz w:val="32"/>
          <w:szCs w:val="32"/>
        </w:rPr>
        <w:t>（三）周课时统计表</w:t>
      </w:r>
    </w:p>
    <w:p>
      <w:pPr>
        <w:snapToGrid w:val="0"/>
        <w:spacing w:line="480" w:lineRule="exact"/>
        <w:ind w:firstLine="480"/>
        <w:rPr>
          <w:rFonts w:ascii="黑体" w:hAnsi="黑体" w:eastAsia="黑体"/>
          <w:sz w:val="32"/>
          <w:szCs w:val="32"/>
        </w:rPr>
      </w:pPr>
      <w:r>
        <w:rPr>
          <w:rFonts w:hint="eastAsia" w:ascii="仿宋_GB2312" w:hAnsi="黑体" w:eastAsia="仿宋_GB2312"/>
          <w:sz w:val="32"/>
          <w:szCs w:val="32"/>
        </w:rPr>
        <w:t>（四）各类课程学时分配表</w:t>
      </w:r>
    </w:p>
    <w:p>
      <w:pPr>
        <w:snapToGrid w:val="0"/>
        <w:spacing w:line="480" w:lineRule="exact"/>
        <w:rPr>
          <w:rFonts w:ascii="黑体" w:hAnsi="黑体" w:eastAsia="黑体"/>
          <w:sz w:val="32"/>
          <w:szCs w:val="32"/>
        </w:rPr>
      </w:pPr>
      <w:bookmarkStart w:id="1" w:name="_Hlk80364965"/>
      <w:r>
        <w:rPr>
          <w:rFonts w:hint="eastAsia" w:ascii="黑体" w:hAnsi="黑体" w:eastAsia="黑体"/>
          <w:sz w:val="32"/>
          <w:szCs w:val="32"/>
        </w:rPr>
        <w:t>十二、市场营销专业之课程标准（单独装订成册）</w:t>
      </w:r>
      <w:bookmarkEnd w:id="1"/>
    </w:p>
    <w:p>
      <w:pPr>
        <w:snapToGrid w:val="0"/>
        <w:spacing w:line="480" w:lineRule="exact"/>
        <w:rPr>
          <w:rFonts w:ascii="黑体" w:hAnsi="黑体" w:eastAsia="黑体"/>
          <w:sz w:val="32"/>
          <w:szCs w:val="32"/>
        </w:rPr>
      </w:pPr>
    </w:p>
    <w:p>
      <w:pPr>
        <w:pageBreakBefore/>
        <w:widowControl/>
        <w:jc w:val="center"/>
        <w:rPr>
          <w:color w:val="000000" w:themeColor="text1"/>
          <w:sz w:val="24"/>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2022级高职专科市场营销专业</w:t>
      </w:r>
      <w:bookmarkEnd w:id="0"/>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人才培养方案</w:t>
      </w:r>
    </w:p>
    <w:p>
      <w:p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p>
    <w:p>
      <w:p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一、专业名称及代码</w:t>
      </w:r>
    </w:p>
    <w:p>
      <w:pPr>
        <w:spacing w:line="324" w:lineRule="auto"/>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专业名称：市场营销   专业代码：5</w:t>
      </w:r>
      <w:r>
        <w:rPr>
          <w:rFonts w:asciiTheme="minorEastAsia" w:hAnsiTheme="minorEastAsia" w:eastAsiaTheme="minorEastAsia" w:cstheme="minorEastAsia"/>
          <w:color w:val="000000" w:themeColor="text1"/>
          <w:sz w:val="24"/>
          <w14:textFill>
            <w14:solidFill>
              <w14:schemeClr w14:val="tx1"/>
            </w14:solidFill>
          </w14:textFill>
        </w:rPr>
        <w:t xml:space="preserve">30605  </w:t>
      </w:r>
      <w:r>
        <w:rPr>
          <w:rFonts w:hint="eastAsia" w:asciiTheme="minorEastAsia" w:hAnsiTheme="minorEastAsia" w:eastAsiaTheme="minorEastAsia" w:cstheme="minorEastAsia"/>
          <w:color w:val="000000" w:themeColor="text1"/>
          <w:sz w:val="24"/>
          <w14:textFill>
            <w14:solidFill>
              <w14:schemeClr w14:val="tx1"/>
            </w14:solidFill>
          </w14:textFill>
        </w:rPr>
        <w:t>本专业首次招生时间：</w:t>
      </w:r>
      <w:r>
        <w:rPr>
          <w:rFonts w:asciiTheme="minorEastAsia" w:hAnsiTheme="minorEastAsia" w:eastAsiaTheme="minorEastAsia" w:cstheme="minorEastAsia"/>
          <w:color w:val="000000" w:themeColor="text1"/>
          <w:sz w:val="24"/>
          <w14:textFill>
            <w14:solidFill>
              <w14:schemeClr w14:val="tx1"/>
            </w14:solidFill>
          </w14:textFill>
        </w:rPr>
        <w:t>2005</w:t>
      </w:r>
      <w:r>
        <w:rPr>
          <w:rFonts w:hint="eastAsia" w:asciiTheme="minorEastAsia" w:hAnsiTheme="minorEastAsia" w:eastAsiaTheme="minorEastAsia" w:cstheme="minorEastAsia"/>
          <w:color w:val="000000" w:themeColor="text1"/>
          <w:sz w:val="24"/>
          <w14:textFill>
            <w14:solidFill>
              <w14:schemeClr w14:val="tx1"/>
            </w14:solidFill>
          </w14:textFill>
        </w:rPr>
        <w:t>年</w:t>
      </w:r>
    </w:p>
    <w:p>
      <w:p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二、教育类型及学历层次</w:t>
      </w:r>
    </w:p>
    <w:p>
      <w:pPr>
        <w:tabs>
          <w:tab w:val="left" w:pos="315"/>
        </w:tabs>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教育类型：全日制、职业高等教育</w:t>
      </w:r>
    </w:p>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学历层次：大专</w:t>
      </w:r>
    </w:p>
    <w:p>
      <w:pPr>
        <w:overflowPunct w:val="0"/>
        <w:spacing w:before="156" w:beforeLines="50" w:after="156" w:afterLines="50"/>
        <w:ind w:firstLine="480" w:firstLineChars="200"/>
        <w:outlineLvl w:val="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三、入学要求</w:t>
      </w:r>
    </w:p>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高中阶段教育毕业生或具有同等学力者。</w:t>
      </w:r>
    </w:p>
    <w:p>
      <w:pPr>
        <w:overflowPunct w:val="0"/>
        <w:spacing w:before="156" w:beforeLines="50" w:after="156" w:afterLines="50"/>
        <w:ind w:firstLine="480" w:firstLineChars="200"/>
        <w:outlineLvl w:val="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四、修业年限</w:t>
      </w:r>
    </w:p>
    <w:p>
      <w:pPr>
        <w:overflowPunct w:val="0"/>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基本学制3年。</w:t>
      </w:r>
    </w:p>
    <w:p>
      <w:p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五、职业岗位</w:t>
      </w:r>
    </w:p>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（一）职业面向</w:t>
      </w:r>
    </w:p>
    <w:p>
      <w:pPr>
        <w:spacing w:line="324" w:lineRule="auto"/>
        <w:ind w:firstLine="480" w:firstLineChars="200"/>
        <w:rPr>
          <w:rFonts w:asciiTheme="minorEastAsia" w:hAnsiTheme="minorEastAsia" w:eastAsiaTheme="minorEastAsia" w:cstheme="minorEastAsia"/>
          <w:color w:val="000000" w:themeColor="text1"/>
          <w:sz w:val="24"/>
          <w:lang w:val="en"/>
          <w14:textFill>
            <w14:solidFill>
              <w14:schemeClr w14:val="tx1"/>
            </w14:solidFill>
          </w14:textFill>
        </w:rPr>
      </w:pPr>
      <w:r>
        <w:rPr>
          <w:rFonts w:hint="eastAsia" w:asciiTheme="minorEastAsia" w:hAnsiTheme="minorEastAsia" w:eastAsiaTheme="minorEastAsia" w:cstheme="minorEastAsia"/>
          <w:color w:val="000000" w:themeColor="text1"/>
          <w:sz w:val="24"/>
          <w:lang w:val="en"/>
          <w14:textFill>
            <w14:solidFill>
              <w14:schemeClr w14:val="tx1"/>
            </w14:solidFill>
          </w14:textFill>
        </w:rPr>
        <w:t>主要面向</w:t>
      </w:r>
      <w:r>
        <w:rPr>
          <w:rFonts w:hint="eastAsia" w:asciiTheme="minorEastAsia" w:hAnsiTheme="minorEastAsia" w:eastAsiaTheme="minorEastAsia" w:cstheme="minorEastAsia"/>
          <w:color w:val="000000" w:themeColor="text1"/>
          <w:sz w:val="24"/>
          <w14:textFill>
            <w14:solidFill>
              <w14:schemeClr w14:val="tx1"/>
            </w14:solidFill>
          </w14:textFill>
        </w:rPr>
        <w:t>各类生产和流通企业</w:t>
      </w:r>
      <w:r>
        <w:rPr>
          <w:rFonts w:hint="eastAsia" w:asciiTheme="minorEastAsia" w:hAnsiTheme="minorEastAsia" w:eastAsiaTheme="minorEastAsia" w:cstheme="minorEastAsia"/>
          <w:color w:val="000000" w:themeColor="text1"/>
          <w:sz w:val="24"/>
          <w:lang w:val="e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从事营销、策划和管理等岗位工作，或机关、企事业单位从事文秘和基层管理等岗位工作。</w:t>
      </w:r>
    </w:p>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（二）工作岗位</w:t>
      </w:r>
    </w:p>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本专业学生主要就业岗位如下：</w:t>
      </w:r>
    </w:p>
    <w:tbl>
      <w:tblPr>
        <w:tblStyle w:val="11"/>
        <w:tblW w:w="87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4308"/>
        <w:gridCol w:w="37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jc w:val="center"/>
        </w:trPr>
        <w:tc>
          <w:tcPr>
            <w:tcW w:w="624"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pacing w:val="24"/>
                <w:szCs w:val="21"/>
                <w14:textFill>
                  <w14:solidFill>
                    <w14:schemeClr w14:val="tx1"/>
                  </w14:solidFill>
                </w14:textFill>
              </w:rPr>
            </w:pPr>
          </w:p>
        </w:tc>
        <w:tc>
          <w:tcPr>
            <w:tcW w:w="4191"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pacing w:val="24"/>
                <w:szCs w:val="21"/>
                <w14:textFill>
                  <w14:solidFill>
                    <w14:schemeClr w14:val="tx1"/>
                  </w14:solidFill>
                </w14:textFill>
              </w:rPr>
            </w:pPr>
            <w:r>
              <w:rPr>
                <w:rFonts w:hint="eastAsia" w:ascii="方正黑体简体" w:hAnsi="方正黑体简体" w:eastAsia="方正黑体简体" w:cs="方正黑体简体"/>
                <w:color w:val="000000" w:themeColor="text1"/>
                <w:spacing w:val="24"/>
                <w:szCs w:val="21"/>
                <w14:textFill>
                  <w14:solidFill>
                    <w14:schemeClr w14:val="tx1"/>
                  </w14:solidFill>
                </w14:textFill>
              </w:rPr>
              <w:t>初始岗位</w:t>
            </w:r>
          </w:p>
        </w:tc>
        <w:tc>
          <w:tcPr>
            <w:tcW w:w="3679"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pacing w:val="24"/>
                <w:szCs w:val="21"/>
                <w14:textFill>
                  <w14:solidFill>
                    <w14:schemeClr w14:val="tx1"/>
                  </w14:solidFill>
                </w14:textFill>
              </w:rPr>
            </w:pPr>
            <w:r>
              <w:rPr>
                <w:rFonts w:hint="eastAsia" w:ascii="方正黑体简体" w:hAnsi="方正黑体简体" w:eastAsia="方正黑体简体" w:cs="方正黑体简体"/>
                <w:color w:val="000000" w:themeColor="text1"/>
                <w:spacing w:val="24"/>
                <w:szCs w:val="21"/>
                <w14:textFill>
                  <w14:solidFill>
                    <w14:schemeClr w14:val="tx1"/>
                  </w14:solidFill>
                </w14:textFill>
              </w:rPr>
              <w:t>发展岗位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9" w:hRule="atLeast"/>
          <w:jc w:val="center"/>
        </w:trPr>
        <w:tc>
          <w:tcPr>
            <w:tcW w:w="624"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pacing w:val="24"/>
                <w:szCs w:val="21"/>
                <w14:textFill>
                  <w14:solidFill>
                    <w14:schemeClr w14:val="tx1"/>
                  </w14:solidFill>
                </w14:textFill>
              </w:rPr>
            </w:pPr>
            <w:r>
              <w:rPr>
                <w:rFonts w:hint="eastAsia" w:ascii="方正黑体简体" w:hAnsi="方正黑体简体" w:eastAsia="方正黑体简体" w:cs="方正黑体简体"/>
                <w:color w:val="000000" w:themeColor="text1"/>
                <w:spacing w:val="24"/>
                <w:szCs w:val="21"/>
                <w14:textFill>
                  <w14:solidFill>
                    <w14:schemeClr w14:val="tx1"/>
                  </w14:solidFill>
                </w14:textFill>
              </w:rPr>
              <w:t>核心岗位</w:t>
            </w:r>
          </w:p>
        </w:tc>
        <w:tc>
          <w:tcPr>
            <w:tcW w:w="4191" w:type="dxa"/>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营销专员、销售专员、新媒体运营专员、客户关系管理专员、渠道设计与管理人员、公关专员、广告设计专员、市场调查专员、网络营销专员、营销策划专员</w:t>
            </w:r>
          </w:p>
        </w:tc>
        <w:tc>
          <w:tcPr>
            <w:tcW w:w="3679" w:type="dxa"/>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营销主管、经理，新媒体运营主管、经理，销售主管、经理，市场主管、经理，大堂主管、经理，门市部主管、经理等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73" w:hRule="atLeast"/>
          <w:jc w:val="center"/>
        </w:trPr>
        <w:tc>
          <w:tcPr>
            <w:tcW w:w="624"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pacing w:val="24"/>
                <w:szCs w:val="21"/>
                <w14:textFill>
                  <w14:solidFill>
                    <w14:schemeClr w14:val="tx1"/>
                  </w14:solidFill>
                </w14:textFill>
              </w:rPr>
            </w:pPr>
            <w:r>
              <w:rPr>
                <w:rFonts w:hint="eastAsia" w:ascii="方正黑体简体" w:hAnsi="方正黑体简体" w:eastAsia="方正黑体简体" w:cs="方正黑体简体"/>
                <w:color w:val="000000" w:themeColor="text1"/>
                <w:spacing w:val="24"/>
                <w:szCs w:val="21"/>
                <w14:textFill>
                  <w14:solidFill>
                    <w14:schemeClr w14:val="tx1"/>
                  </w14:solidFill>
                </w14:textFill>
              </w:rPr>
              <w:t>迁移岗位</w:t>
            </w:r>
          </w:p>
        </w:tc>
        <w:tc>
          <w:tcPr>
            <w:tcW w:w="4191" w:type="dxa"/>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主播、统计员、财务人员、网页制作专员、机关及企事业单位文员、文秘等</w:t>
            </w:r>
          </w:p>
        </w:tc>
        <w:tc>
          <w:tcPr>
            <w:tcW w:w="3679" w:type="dxa"/>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统计主管、直播运营人员、财务管理人员、机关及企事业单位办公室管理人员等</w:t>
            </w:r>
          </w:p>
        </w:tc>
      </w:tr>
    </w:tbl>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（三）工作任务与职业能力分解表</w:t>
      </w:r>
    </w:p>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通过对岗位及岗位群进行工作任务和职业能力分析，确定工作领域、工作任务和职业能力。</w:t>
      </w:r>
    </w:p>
    <w:tbl>
      <w:tblPr>
        <w:tblStyle w:val="11"/>
        <w:tblW w:w="87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9"/>
        <w:gridCol w:w="2025"/>
        <w:gridCol w:w="60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blHeader/>
          <w:jc w:val="center"/>
        </w:trPr>
        <w:tc>
          <w:tcPr>
            <w:tcW w:w="689"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工作领域</w:t>
            </w:r>
          </w:p>
        </w:tc>
        <w:tc>
          <w:tcPr>
            <w:tcW w:w="2025"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工作任务</w:t>
            </w:r>
          </w:p>
        </w:tc>
        <w:tc>
          <w:tcPr>
            <w:tcW w:w="6017" w:type="dxa"/>
            <w:tcBorders>
              <w:tl2br w:val="nil"/>
              <w:tr2bl w:val="nil"/>
            </w:tcBorders>
            <w:shd w:val="clear" w:color="auto" w:fill="auto"/>
            <w:tcMar>
              <w:left w:w="45"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职业能力与素质要求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市</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场</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调</w:t>
            </w:r>
          </w:p>
          <w:p>
            <w:pPr>
              <w:spacing w:line="0" w:lineRule="atLeast"/>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研</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1-1</w:t>
            </w:r>
            <w:r>
              <w:rPr>
                <w:rFonts w:hint="eastAsia" w:asciiTheme="minorEastAsia" w:hAnsiTheme="minorEastAsia" w:eastAsiaTheme="minorEastAsia" w:cstheme="minorEastAsia"/>
                <w:color w:val="000000" w:themeColor="text1"/>
                <w:kern w:val="0"/>
                <w:szCs w:val="21"/>
                <w14:textFill>
                  <w14:solidFill>
                    <w14:schemeClr w14:val="tx1"/>
                  </w14:solidFill>
                </w14:textFill>
              </w:rPr>
              <w:t>调研策划</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能根据调研目标设计调研内容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能根据调研内容确定调查对象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能根据调研对象选择调查方法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能根据调研目标、对象、内容制定调研方案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1-2问卷设计</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能根据调研策划要求设计问卷调查表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能根据调研内容及对象的不同拟定问卷内容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能确保问卷内容有效实现问卷目标的实训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1-3实地调研</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能根据调研目标及相关要求执行调研任务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能运用调查记录工具，及时记录调研信息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能运用相关统计方法，汇总分析调研结果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w:t>
            </w:r>
            <w:r>
              <w:rPr>
                <w:rFonts w:hint="eastAsia" w:asciiTheme="minorEastAsia" w:hAnsiTheme="minorEastAsia" w:eastAsiaTheme="minorEastAsia" w:cstheme="minorEastAsia"/>
                <w:bCs/>
                <w:color w:val="000000" w:themeColor="text1"/>
                <w:szCs w:val="21"/>
                <w14:textFill>
                  <w14:solidFill>
                    <w14:schemeClr w14:val="tx1"/>
                  </w14:solidFill>
                </w14:textFill>
              </w:rPr>
              <w:t>撰写调研报告</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能熟练掌握调研报告撰写规范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能在调研实施的基础上形成调研报告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能尽量保证调研报告科学合理，力保调研目标的实现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营</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销</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策</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划</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2-1 环境分析</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能熟练掌握市场营销环境内容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能正确辨识影响企业的市场营销环境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能熟练掌握营销环境分析方法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能运营环境分析工具分析影响企业的各种营销环境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2-2消费行为分析</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能熟练掌握消费心理及消费行为基础知识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能运用相关知识分析消费者行为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能够识别不同的消费者类型及购买行为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能熟练掌握消费者购买决策过程及影响因素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2-3 营销战略制定</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能熟练掌握市场营销战略理论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能根据合理细分变量细分市场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能根据企业营销目标选定正确的目标市场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能为选定的目标市场进行正确的市场定位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2-4 营销组合策略设计</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能熟练掌握营销组合相关基础知识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能根据企业营销战略确定科学可行的营销组合方案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能根据市场环境变化确定备选营销组合方案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能对营销策划效果进行科学预计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售</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管</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3-1 销售计划制定</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能根据销售影响因素，采取适当方法进行销售预测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能根据合适的方法合理确定销售配额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能根据选定的销售预算方法制定销售预算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3-2销售组织管理</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能根据恰当划分原则划分销售区域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能根据各种影响因素，合理设计销售组织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能根据不同销售区域特点确定销售区域战略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3-3促销组合设计</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能熟练掌握促销组合的不同方式内容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能根据销售管理目标选定合适的促销方式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能制定合理的广告、公关、人员推销、销售促进方案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3-4销售人员招聘</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能根据企业实际制定招聘计划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能根据招聘确定人员招聘渠道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能根据对应聘人员的合理评估进行遴选、聘用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3-5销售人员培训</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能教学科学的培训需求分析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能根据培训需求制定培训计划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能有效实施培训计划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客</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户</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关  系</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管</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理</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4-1 客户信息建立</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能采用不同的信息收集方式，收集有效的顾客信息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能按照客户分类标准，建立顾客档案并分类管理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能对顾客的消费能力和偏好进行分析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4-2 客户咨询受理</w:t>
            </w:r>
          </w:p>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能运用标准话术，为顾客提供准确的咨询服务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能准确地向顾客介绍商品维护及保养常识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能及时掌握营销动向，向顾客提供门店相关营销信息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4-3客服平台维护</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能对客户信息进行有效的维护及管理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能运用有效的沟通技巧，保持与客户的良好合作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能妥善处理顾客异议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4-4 客户回访</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能按照客户服务的要求，对客户进行回访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能运用恰当的方式，对特定目标客户进行专题回访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w:t>
            </w:r>
          </w:p>
          <w:p>
            <w:pPr>
              <w:spacing w:line="0" w:lineRule="atLeast"/>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商</w:t>
            </w:r>
          </w:p>
          <w:p>
            <w:pPr>
              <w:spacing w:line="0" w:lineRule="atLeast"/>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务</w:t>
            </w:r>
          </w:p>
          <w:p>
            <w:pPr>
              <w:spacing w:line="0" w:lineRule="atLeast"/>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谈</w:t>
            </w:r>
          </w:p>
          <w:p>
            <w:pPr>
              <w:spacing w:line="0" w:lineRule="atLeast"/>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判</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5-1谈判方案制定</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能根据谈判需求进行信息收集及选择谈判对象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能制定科学合理的谈判方案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能够组织进行模拟实务谈判，并修正完善谈判方案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5-2谈判过程管理</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能够熟练掌握谈判的成功模式，设计商务谈判流程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能够有效组织商务谈判开局并营造适宜谈判气氛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能够有效组织商务谈判对局并使谈判顺利进行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能够有效促成商务谈判成交并签订商务合同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5-3谈判关系维护</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能够熟练掌握最后让步策略及技巧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能够较好维护谈判关系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网</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络</w:t>
            </w:r>
          </w:p>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营</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销</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6-1 网络调研</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能根据网络调查目标确定调查对象及调查渠道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能够利用网络收集信息，制定网络调查计划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能够在进行信息收集后尽快进行处理，撰写调查报告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6-2网店运营</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能根据工作需要确定网店运营基本流程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能根据网店运营工作内容设计营销活动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能有效运营网络工具进行网络营销推广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6-3</w:t>
            </w:r>
            <w:r>
              <w:rPr>
                <w:rFonts w:hint="eastAsia" w:asciiTheme="minorEastAsia" w:hAnsiTheme="minorEastAsia" w:eastAsiaTheme="minorEastAsia" w:cstheme="minorEastAsia"/>
                <w:bCs/>
                <w:color w:val="000000" w:themeColor="text1"/>
                <w:szCs w:val="21"/>
                <w14:textFill>
                  <w14:solidFill>
                    <w14:schemeClr w14:val="tx1"/>
                  </w14:solidFill>
                </w14:textFill>
              </w:rPr>
              <w:t>网络营销策划</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能运用网络新闻的撰写方法，撰写相关的网络新闻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能运用网络工具，开展网络营销活动，发布网络广告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能进行网络营销策划方案的设计、实施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营</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施</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7-1电话营销</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能熟悉电话营销活动的基本流程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能在电话营销活动中对客户心理进行准确分析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能熟练运用相关话术及电话礼仪开展营销活动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7-2店堂销售</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能熟悉店堂销售的工作内容及基本流程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能对店堂进行合理布置，熟练掌握顾客沟通技巧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能熟练掌握店堂销售技巧及方法策略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7-3</w:t>
            </w:r>
            <w:r>
              <w:rPr>
                <w:rFonts w:hint="eastAsia" w:asciiTheme="minorEastAsia" w:hAnsiTheme="minorEastAsia" w:eastAsiaTheme="minorEastAsia" w:cstheme="minorEastAsia"/>
                <w:bCs/>
                <w:color w:val="000000" w:themeColor="text1"/>
                <w:szCs w:val="21"/>
                <w14:textFill>
                  <w14:solidFill>
                    <w14:schemeClr w14:val="tx1"/>
                  </w14:solidFill>
                </w14:textFill>
              </w:rPr>
              <w:t>会展营销</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能向展商和观众开展展会宣传，推广展会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能制作各种展会宣传品，进行自媒体维护，新闻、广告等宣传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1"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能够负责展会的服务工作，并对于签约参展的客商提供售后服务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7-4</w:t>
            </w:r>
            <w:r>
              <w:rPr>
                <w:rFonts w:hint="eastAsia" w:asciiTheme="minorEastAsia" w:hAnsiTheme="minorEastAsia" w:eastAsiaTheme="minorEastAsia" w:cstheme="minorEastAsia"/>
                <w:bCs/>
                <w:color w:val="000000" w:themeColor="text1"/>
                <w:szCs w:val="21"/>
                <w14:textFill>
                  <w14:solidFill>
                    <w14:schemeClr w14:val="tx1"/>
                  </w14:solidFill>
                </w14:textFill>
              </w:rPr>
              <w:t>房地产营销</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能熟练掌握房地产营销的基础知识及房地产销售工作流程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能根据顾客需求，积极推介产品，不断提高销售技巧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能不断开发客户，建立客户档案，搞好客户服务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能协助客户办理成交及入住手续，处理顾客异议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7-5</w:t>
            </w:r>
            <w:r>
              <w:rPr>
                <w:rFonts w:hint="eastAsia" w:asciiTheme="minorEastAsia" w:hAnsiTheme="minorEastAsia" w:eastAsiaTheme="minorEastAsia" w:cstheme="minorEastAsia"/>
                <w:bCs/>
                <w:color w:val="000000" w:themeColor="text1"/>
                <w:szCs w:val="21"/>
                <w14:textFill>
                  <w14:solidFill>
                    <w14:schemeClr w14:val="tx1"/>
                  </w14:solidFill>
                </w14:textFill>
              </w:rPr>
              <w:t>汽车营销</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能熟练掌握汽车营销的基础知识及汽车销售工作流程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能根据顾客需求，积极推介产品，不断提高销售技巧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能不断开发客户，建立客户档案，搞好客户服务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能协助客户办理成交及入户手续，处理顾客异议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7-6商品促销</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能根据商品促销活动的细则，对商品促销活动中的工作任务进行分解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能按照活动细则及要求，有效实施商品促销活动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能收集促销活动的相关信息，及时汇总并向相关部门反馈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restart"/>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营</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w:t>
            </w:r>
          </w:p>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素</w:t>
            </w:r>
          </w:p>
          <w:p>
            <w:pPr>
              <w:spacing w:line="0" w:lineRule="atLeast"/>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质</w:t>
            </w: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8-1销售意识</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能够树立正确的营销观念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能够树立客户服务思想，能以客户为中心开展工作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能养成随时寻找顾客，开展销售活动的职业习惯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8-2沟通交流</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能了解与市场营销专业相关岗位的口语交际能力要求，培养良好的语境意识和职业语感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能熟练掌握基本的交际原则、方法及应对技巧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能进行客户交往、电话接打、商品导购、价格磋商、商务演讲等技能操作，形成良好的人际沟通能力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8-3礼仪素养</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能熟练掌握营销岗位服务礼仪及人际沟通基础知识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能熟练掌握营销活动各环节的礼仪规范及服务内容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能塑造得体大方、主动热情的职业形象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8-4应用文写作</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能熟练掌握各种商务应用文的写作规范和要求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能运用相关写作技巧，拟写较规范的商务应用文本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restart"/>
            <w:tcBorders>
              <w:tl2br w:val="nil"/>
              <w:tr2bl w:val="nil"/>
            </w:tcBorders>
            <w:shd w:val="clear" w:color="auto" w:fill="auto"/>
            <w:tcMar>
              <w:left w:w="45"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8-5团队合作</w:t>
            </w: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能建立和谐关系，创设良好的人际氛围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能信任同事，积极参加集体活动，增强团队协作精神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jc w:val="center"/>
        </w:trPr>
        <w:tc>
          <w:tcPr>
            <w:tcW w:w="689"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2025" w:type="dxa"/>
            <w:vMerge w:val="continue"/>
            <w:tcBorders>
              <w:tl2br w:val="nil"/>
              <w:tr2bl w:val="nil"/>
            </w:tcBorders>
            <w:shd w:val="clear" w:color="auto" w:fill="auto"/>
            <w:tcMar>
              <w:left w:w="45" w:type="dxa"/>
              <w:right w:w="45" w:type="dxa"/>
            </w:tcMar>
            <w:vAlign w:val="center"/>
          </w:tcPr>
          <w:p>
            <w:pPr>
              <w:spacing w:line="0" w:lineRule="atLeast"/>
              <w:rPr>
                <w:rFonts w:asciiTheme="minorEastAsia" w:hAnsiTheme="minorEastAsia" w:eastAsiaTheme="minorEastAsia" w:cstheme="minorEastAsia"/>
                <w:color w:val="000000" w:themeColor="text1"/>
                <w:szCs w:val="21"/>
                <w14:textFill>
                  <w14:solidFill>
                    <w14:schemeClr w14:val="tx1"/>
                  </w14:solidFill>
                </w14:textFill>
              </w:rPr>
            </w:pPr>
          </w:p>
        </w:tc>
        <w:tc>
          <w:tcPr>
            <w:tcW w:w="6017" w:type="dxa"/>
            <w:tcBorders>
              <w:tl2br w:val="nil"/>
              <w:tr2bl w:val="nil"/>
            </w:tcBorders>
            <w:shd w:val="clear" w:color="auto" w:fill="auto"/>
            <w:tcMar>
              <w:left w:w="45" w:type="dxa"/>
              <w:right w:w="45" w:type="dxa"/>
            </w:tcMar>
            <w:vAlign w:val="center"/>
          </w:tcPr>
          <w:p>
            <w:pPr>
              <w:numPr>
                <w:ilvl w:val="0"/>
                <w:numId w:val="1"/>
              </w:numPr>
              <w:spacing w:line="0" w:lineRule="atLeast"/>
              <w:ind w:left="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能积极乐观，团结互助，热爱公司，敬业勤奋</w:t>
            </w:r>
          </w:p>
        </w:tc>
      </w:tr>
    </w:tbl>
    <w:p>
      <w:pPr>
        <w:spacing w:line="324" w:lineRule="auto"/>
        <w:ind w:firstLine="480"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通过工作领域、工作任务和职业能力分析，确定对应课程。</w:t>
      </w:r>
    </w:p>
    <w:tbl>
      <w:tblPr>
        <w:tblStyle w:val="11"/>
        <w:tblW w:w="87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83"/>
        <w:gridCol w:w="2182"/>
        <w:gridCol w:w="2183"/>
        <w:gridCol w:w="21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工作领域</w:t>
            </w:r>
          </w:p>
        </w:tc>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专业核心课</w:t>
            </w:r>
          </w:p>
        </w:tc>
        <w:tc>
          <w:tcPr>
            <w:tcW w:w="2131" w:type="dxa"/>
            <w:tcBorders>
              <w:tl2br w:val="nil"/>
              <w:tr2bl w:val="nil"/>
            </w:tcBorders>
            <w:shd w:val="clear" w:color="auto" w:fill="auto"/>
            <w:tcMar>
              <w:top w:w="113" w:type="dxa"/>
              <w:left w:w="45" w:type="dxa"/>
              <w:bottom w:w="113"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专业基础课</w:t>
            </w:r>
          </w:p>
        </w:tc>
        <w:tc>
          <w:tcPr>
            <w:tcW w:w="2131" w:type="dxa"/>
            <w:tcBorders>
              <w:tl2br w:val="nil"/>
              <w:tr2bl w:val="nil"/>
            </w:tcBorders>
            <w:shd w:val="clear" w:color="auto" w:fill="auto"/>
            <w:tcMar>
              <w:top w:w="113" w:type="dxa"/>
              <w:left w:w="45" w:type="dxa"/>
              <w:bottom w:w="113"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专业选修课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bookmarkStart w:id="2" w:name="_Hlk49801941"/>
            <w:r>
              <w:rPr>
                <w:rFonts w:hint="eastAsia" w:asciiTheme="minorEastAsia" w:hAnsiTheme="minorEastAsia" w:eastAsiaTheme="minorEastAsia" w:cstheme="minorEastAsia"/>
                <w:bCs/>
                <w:color w:val="000000" w:themeColor="text1"/>
                <w:szCs w:val="21"/>
                <w14:textFill>
                  <w14:solidFill>
                    <w14:schemeClr w14:val="tx1"/>
                  </w14:solidFill>
                </w14:textFill>
              </w:rPr>
              <w:t>市场调研</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市场调查实务</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高职数学</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营销策划</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营销策划实务</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市场营销实务</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销售管理</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商务谈判与推销技巧</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促销活动策划与执行</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客户关系管理</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商务谈判与推销技巧</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促销活动策划与执行</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商务谈判</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商务谈判与推销技巧</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网络营销</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网络营销实务</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电子商务实务</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新媒体营销</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新媒体营销实务</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营销实施</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商务谈判与推销技巧</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消费心理理论与实务</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广告理论与实务</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管理沟通实务</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毕业设计</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顶岗实习</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1+X证书培训</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市场营销技能沙盘</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专业技能大赛培训 </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创业培训</w:t>
            </w:r>
          </w:p>
        </w:tc>
      </w:tr>
      <w:bookmarkEnd w:id="2"/>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130" w:type="dxa"/>
            <w:tcBorders>
              <w:tl2br w:val="nil"/>
              <w:tr2bl w:val="nil"/>
            </w:tcBorders>
            <w:shd w:val="clear" w:color="auto" w:fill="auto"/>
            <w:tcMar>
              <w:top w:w="113" w:type="dxa"/>
              <w:left w:w="45" w:type="dxa"/>
              <w:bottom w:w="113" w:type="dxa"/>
              <w:right w:w="45" w:type="dxa"/>
            </w:tcMar>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营销素质</w:t>
            </w:r>
          </w:p>
        </w:tc>
        <w:tc>
          <w:tcPr>
            <w:tcW w:w="2130"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公关与礼仪</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经济学基础</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经济法实务</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基础统计</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商务礼仪实训</w:t>
            </w:r>
          </w:p>
        </w:tc>
        <w:tc>
          <w:tcPr>
            <w:tcW w:w="2131" w:type="dxa"/>
            <w:tcBorders>
              <w:tl2br w:val="nil"/>
              <w:tr2bl w:val="nil"/>
            </w:tcBorders>
            <w:shd w:val="clear" w:color="auto" w:fill="auto"/>
            <w:tcMar>
              <w:top w:w="113" w:type="dxa"/>
              <w:left w:w="45" w:type="dxa"/>
              <w:bottom w:w="113" w:type="dxa"/>
              <w:right w:w="45" w:type="dxa"/>
            </w:tcMar>
            <w:vAlign w:val="center"/>
          </w:tcPr>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实用英语</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职场综合英语</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普通话水平培训</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书法培训</w:t>
            </w:r>
          </w:p>
          <w:p>
            <w:pPr>
              <w:adjustRightInd w:val="0"/>
              <w:spacing w:line="0" w:lineRule="atLeast"/>
              <w:rPr>
                <w:rFonts w:asciiTheme="minorEastAsia" w:hAnsiTheme="minorEastAsia" w:eastAsiaTheme="minorEastAsia" w:cstheme="minorEastAsia"/>
                <w:bCs/>
                <w:color w:val="000000" w:themeColor="text1"/>
                <w:szCs w:val="21"/>
                <w14:textFill>
                  <w14:solidFill>
                    <w14:schemeClr w14:val="tx1"/>
                  </w14:solidFill>
                </w14:textFill>
              </w:rPr>
            </w:pPr>
          </w:p>
        </w:tc>
      </w:tr>
    </w:tbl>
    <w:p>
      <w:p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六、培养目标及规格</w:t>
      </w:r>
    </w:p>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（一）培养目标</w:t>
      </w:r>
    </w:p>
    <w:p>
      <w:pPr>
        <w:spacing w:line="324"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14:textFill>
            <w14:solidFill>
              <w14:schemeClr w14:val="tx1"/>
            </w14:solidFill>
          </w14:textFill>
        </w:rPr>
        <w:t>为适应区域经济发展的需要，</w:t>
      </w:r>
      <w:r>
        <w:rPr>
          <w:rFonts w:hint="eastAsia" w:asciiTheme="minorEastAsia" w:hAnsiTheme="minorEastAsia" w:eastAsiaTheme="minorEastAsia" w:cstheme="minorEastAsia"/>
          <w:sz w:val="24"/>
        </w:rPr>
        <w:t>坚持“以德为先，以德育人”，</w:t>
      </w:r>
      <w:r>
        <w:rPr>
          <w:rFonts w:hint="eastAsia" w:asciiTheme="minorEastAsia" w:hAnsiTheme="minorEastAsia" w:eastAsiaTheme="minorEastAsia" w:cstheme="minorEastAsia"/>
          <w:color w:val="000000" w:themeColor="text1"/>
          <w:sz w:val="24"/>
          <w14:textFill>
            <w14:solidFill>
              <w14:schemeClr w14:val="tx1"/>
            </w14:solidFill>
          </w14:textFill>
        </w:rPr>
        <w:t>培养具有社会主义核心价值观，具有良好的公共道德和职业道德，具有较强的团队意识和协作精神，系统掌握营销基础理论知识及操作技能，能在企事业单位从事市场调研、商品销售、商务谈判、营销活动策划、销售管理、网络营销等工作，具有较强的实践能力、创新能力、就业能力、创业能力、学习能力，德、智、体、美、劳全面发展的，</w:t>
      </w:r>
      <w:r>
        <w:rPr>
          <w:rFonts w:hint="eastAsia" w:asciiTheme="minorEastAsia" w:hAnsiTheme="minorEastAsia" w:eastAsiaTheme="minorEastAsia" w:cstheme="minorEastAsia"/>
          <w:sz w:val="24"/>
        </w:rPr>
        <w:t>达到德性素养与技术技能统一的复合式创新型高素质技能型人才，建立“厚商德、明规范、强技能”的人才培养目标。</w:t>
      </w:r>
    </w:p>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（二）培养规格</w:t>
      </w:r>
    </w:p>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本专业核心能力为：市场调研与分析能力、市场营销策划与管理能力、销售管理能力、商务谈判与沟通能力、网络</w:t>
      </w:r>
      <w:r>
        <w:rPr>
          <w:rFonts w:hint="eastAsia" w:asciiTheme="minorEastAsia" w:hAnsiTheme="minorEastAsia" w:eastAsiaTheme="minorEastAsia" w:cstheme="minorEastAsia"/>
          <w:b/>
          <w:bCs/>
          <w:color w:val="000000" w:themeColor="text1"/>
          <w:sz w:val="24"/>
          <w14:textFill>
            <w14:solidFill>
              <w14:schemeClr w14:val="tx1"/>
            </w14:solidFill>
          </w14:textFill>
        </w:rPr>
        <w:t>营</w:t>
      </w:r>
      <w:r>
        <w:rPr>
          <w:rFonts w:hint="eastAsia" w:asciiTheme="minorEastAsia" w:hAnsiTheme="minorEastAsia" w:eastAsiaTheme="minorEastAsia" w:cstheme="minorEastAsia"/>
          <w:color w:val="000000" w:themeColor="text1"/>
          <w:sz w:val="24"/>
          <w14:textFill>
            <w14:solidFill>
              <w14:schemeClr w14:val="tx1"/>
            </w14:solidFill>
          </w14:textFill>
        </w:rPr>
        <w:t>销与营销实施能力。其知识、技能结构与素质要求如下：</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1.知识结构</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（1）熟练掌握一定的市场营销基础理论、基本原理、基本方法；</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（2）熟练营销策划的相关基础理论知识，熟练掌握销售管理工作流程；</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（3）熟练掌握客户管理相关知识，了解商务谈判基本理论知识及成功模式；</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（4）熟悉网络营销及电子商务相关基础知识，了解新媒体营销发展趋势及前景。</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2.技能结构</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（1）能够合理运用市场调研方法，设计调研问卷并实施调研，撰写调研报告。</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（2）能够按照营销策划书的架构，进行营销环境及市场分析，根据企业的营销目标，制定营销战略，设计营销组合，撰写营销策划书。</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（3）能够根据企业营销目标，制定销售计划，设计促销组合，并根据不同的区域市场制定销售战略及人员招聘及激励措施。</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（4）能够收集并建立客户信息，受理客户咨询，正确处理客户异议，实施客户关怀，较好维持与客户关系。</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（5）能够根据收集的信息及谈判目标制定商务谈判方案，能够熟悉谈判流程并完成谈判操作。</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（6）能够进行网页制作，能够运用网络营销工具及新媒体进行营销推广。</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3.素质要求</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（1）熟悉国家发展战略、政策和相关的经济法规；</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（2）系统掌握一定的自然、社会科学基本知识；</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（3）遵纪守法、爱岗敬业；</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（4）有较强的集体荣誉感、较强的团队意识与协作精神；</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（5）尊敬领导、服从管理，谦虚好学、积极进取；</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（6）吃苦耐劳、敢于挑战。</w:t>
      </w:r>
    </w:p>
    <w:p>
      <w:p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七、课程体系</w:t>
      </w:r>
    </w:p>
    <w:p>
      <w:pPr>
        <w:spacing w:line="336"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（一）课程体系说明与结构图</w:t>
      </w:r>
    </w:p>
    <w:p>
      <w:pPr>
        <w:spacing w:line="336"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主要通过学生职业岗位剖析，提炼出学生担任相应工作任务必须具备的基本素养、基本知识、职业技能、并考虑了学生职业发展的需要，制定了此课程体系。在此过程中，我们也考虑到了目前市场营销热门行业对人才的需求和学生的兴趣，在职业技能模块中定了若干营销方向，供学生选择。</w:t>
      </w:r>
    </w:p>
    <w:p>
      <w:pPr>
        <w:spacing w:line="440" w:lineRule="exact"/>
        <w:rPr>
          <w:rFonts w:ascii="仿宋_GB2312" w:eastAsia="仿宋_GB2312"/>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151765</wp:posOffset>
                </wp:positionV>
                <wp:extent cx="5003800" cy="3234690"/>
                <wp:effectExtent l="4445" t="4445" r="20955" b="18415"/>
                <wp:wrapNone/>
                <wp:docPr id="401" name="组合 401"/>
                <wp:cNvGraphicFramePr/>
                <a:graphic xmlns:a="http://schemas.openxmlformats.org/drawingml/2006/main">
                  <a:graphicData uri="http://schemas.microsoft.com/office/word/2010/wordprocessingGroup">
                    <wpg:wgp>
                      <wpg:cNvGrpSpPr/>
                      <wpg:grpSpPr>
                        <a:xfrm>
                          <a:off x="0" y="0"/>
                          <a:ext cx="5003800" cy="3234690"/>
                          <a:chOff x="14423" y="361580"/>
                          <a:chExt cx="7880" cy="5094"/>
                        </a:xfrm>
                      </wpg:grpSpPr>
                      <wps:wsp>
                        <wps:cNvPr id="115" name="直接连接符 115"/>
                        <wps:cNvCnPr>
                          <a:cxnSpLocks noChangeShapeType="1"/>
                        </wps:cNvCnPr>
                        <wps:spPr bwMode="auto">
                          <a:xfrm flipH="1">
                            <a:off x="21446" y="362931"/>
                            <a:ext cx="1" cy="2392"/>
                          </a:xfrm>
                          <a:prstGeom prst="line">
                            <a:avLst/>
                          </a:prstGeom>
                          <a:noFill/>
                          <a:ln w="9525">
                            <a:solidFill>
                              <a:srgbClr val="000000"/>
                            </a:solidFill>
                            <a:round/>
                          </a:ln>
                          <a:effectLst/>
                        </wps:spPr>
                        <wps:bodyPr/>
                      </wps:wsp>
                      <wpg:grpSp>
                        <wpg:cNvPr id="315" name="组合 315"/>
                        <wpg:cNvGrpSpPr/>
                        <wpg:grpSpPr>
                          <a:xfrm>
                            <a:off x="14423" y="361580"/>
                            <a:ext cx="7881" cy="5095"/>
                            <a:chOff x="5729" y="1103176"/>
                            <a:chExt cx="7881" cy="5095"/>
                          </a:xfrm>
                        </wpg:grpSpPr>
                        <wps:wsp>
                          <wps:cNvPr id="112" name="流程图: 可选过程 112"/>
                          <wps:cNvSpPr>
                            <a:spLocks noChangeArrowheads="1"/>
                          </wps:cNvSpPr>
                          <wps:spPr bwMode="auto">
                            <a:xfrm>
                              <a:off x="7141" y="1103176"/>
                              <a:ext cx="624" cy="624"/>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基本</w:t>
                                </w:r>
                              </w:p>
                              <w:p>
                                <w:pPr>
                                  <w:spacing w:line="0" w:lineRule="atLeast"/>
                                  <w:jc w:val="center"/>
                                  <w:rPr>
                                    <w:sz w:val="18"/>
                                    <w:szCs w:val="18"/>
                                  </w:rPr>
                                </w:pPr>
                                <w:r>
                                  <w:rPr>
                                    <w:rFonts w:hint="eastAsia"/>
                                    <w:sz w:val="18"/>
                                    <w:szCs w:val="18"/>
                                  </w:rPr>
                                  <w:t>素养</w:t>
                                </w:r>
                              </w:p>
                            </w:txbxContent>
                          </wps:txbx>
                          <wps:bodyPr rot="0" vert="horz" wrap="square" lIns="0" tIns="0" rIns="0" bIns="0" anchor="t" anchorCtr="0" upright="1">
                            <a:noAutofit/>
                          </wps:bodyPr>
                        </wps:wsp>
                        <wps:wsp>
                          <wps:cNvPr id="111" name="流程图: 可选过程 111"/>
                          <wps:cNvSpPr>
                            <a:spLocks noChangeArrowheads="1"/>
                          </wps:cNvSpPr>
                          <wps:spPr bwMode="auto">
                            <a:xfrm>
                              <a:off x="5729" y="1104695"/>
                              <a:ext cx="525" cy="2496"/>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营</w:t>
                                </w:r>
                              </w:p>
                              <w:p>
                                <w:pPr>
                                  <w:spacing w:line="0" w:lineRule="atLeast"/>
                                  <w:jc w:val="center"/>
                                  <w:rPr>
                                    <w:sz w:val="18"/>
                                    <w:szCs w:val="18"/>
                                  </w:rPr>
                                </w:pPr>
                                <w:r>
                                  <w:rPr>
                                    <w:rFonts w:hint="eastAsia"/>
                                    <w:sz w:val="18"/>
                                    <w:szCs w:val="18"/>
                                  </w:rPr>
                                  <w:t>销</w:t>
                                </w:r>
                              </w:p>
                              <w:p>
                                <w:pPr>
                                  <w:spacing w:line="0" w:lineRule="atLeast"/>
                                  <w:jc w:val="center"/>
                                  <w:rPr>
                                    <w:sz w:val="18"/>
                                    <w:szCs w:val="18"/>
                                  </w:rPr>
                                </w:pPr>
                                <w:r>
                                  <w:rPr>
                                    <w:rFonts w:hint="eastAsia"/>
                                    <w:sz w:val="18"/>
                                    <w:szCs w:val="18"/>
                                  </w:rPr>
                                  <w:t>工</w:t>
                                </w:r>
                              </w:p>
                              <w:p>
                                <w:pPr>
                                  <w:spacing w:line="0" w:lineRule="atLeast"/>
                                  <w:jc w:val="center"/>
                                  <w:rPr>
                                    <w:sz w:val="18"/>
                                    <w:szCs w:val="18"/>
                                  </w:rPr>
                                </w:pPr>
                                <w:r>
                                  <w:rPr>
                                    <w:rFonts w:hint="eastAsia"/>
                                    <w:sz w:val="18"/>
                                    <w:szCs w:val="18"/>
                                  </w:rPr>
                                  <w:t>作</w:t>
                                </w:r>
                              </w:p>
                              <w:p>
                                <w:pPr>
                                  <w:spacing w:line="0" w:lineRule="atLeast"/>
                                  <w:jc w:val="center"/>
                                  <w:rPr>
                                    <w:sz w:val="18"/>
                                    <w:szCs w:val="18"/>
                                  </w:rPr>
                                </w:pPr>
                                <w:r>
                                  <w:rPr>
                                    <w:rFonts w:hint="eastAsia"/>
                                    <w:sz w:val="18"/>
                                    <w:szCs w:val="18"/>
                                  </w:rPr>
                                  <w:t>岗</w:t>
                                </w:r>
                              </w:p>
                              <w:p>
                                <w:pPr>
                                  <w:spacing w:line="0" w:lineRule="atLeast"/>
                                  <w:jc w:val="center"/>
                                  <w:rPr>
                                    <w:sz w:val="18"/>
                                    <w:szCs w:val="18"/>
                                  </w:rPr>
                                </w:pPr>
                                <w:r>
                                  <w:rPr>
                                    <w:rFonts w:hint="eastAsia"/>
                                    <w:sz w:val="18"/>
                                    <w:szCs w:val="18"/>
                                  </w:rPr>
                                  <w:t>位</w:t>
                                </w:r>
                              </w:p>
                              <w:p>
                                <w:pPr>
                                  <w:spacing w:line="0" w:lineRule="atLeast"/>
                                  <w:jc w:val="center"/>
                                  <w:rPr>
                                    <w:sz w:val="18"/>
                                    <w:szCs w:val="18"/>
                                  </w:rPr>
                                </w:pPr>
                                <w:r>
                                  <w:rPr>
                                    <w:rFonts w:hint="eastAsia"/>
                                    <w:sz w:val="18"/>
                                    <w:szCs w:val="18"/>
                                  </w:rPr>
                                  <w:t>人</w:t>
                                </w:r>
                              </w:p>
                              <w:p>
                                <w:pPr>
                                  <w:spacing w:line="0" w:lineRule="atLeast"/>
                                  <w:jc w:val="center"/>
                                  <w:rPr>
                                    <w:sz w:val="18"/>
                                    <w:szCs w:val="18"/>
                                  </w:rPr>
                                </w:pPr>
                                <w:r>
                                  <w:rPr>
                                    <w:rFonts w:hint="eastAsia"/>
                                    <w:sz w:val="18"/>
                                    <w:szCs w:val="18"/>
                                  </w:rPr>
                                  <w:t>才</w:t>
                                </w:r>
                              </w:p>
                              <w:p>
                                <w:pPr>
                                  <w:spacing w:line="0" w:lineRule="atLeast"/>
                                  <w:jc w:val="center"/>
                                  <w:rPr>
                                    <w:sz w:val="18"/>
                                    <w:szCs w:val="18"/>
                                  </w:rPr>
                                </w:pPr>
                                <w:r>
                                  <w:rPr>
                                    <w:rFonts w:hint="eastAsia"/>
                                    <w:sz w:val="18"/>
                                    <w:szCs w:val="18"/>
                                  </w:rPr>
                                  <w:t>要</w:t>
                                </w:r>
                              </w:p>
                              <w:p>
                                <w:pPr>
                                  <w:spacing w:line="0" w:lineRule="atLeast"/>
                                  <w:jc w:val="center"/>
                                  <w:rPr>
                                    <w:sz w:val="18"/>
                                    <w:szCs w:val="18"/>
                                  </w:rPr>
                                </w:pPr>
                                <w:r>
                                  <w:rPr>
                                    <w:rFonts w:hint="eastAsia"/>
                                    <w:sz w:val="18"/>
                                    <w:szCs w:val="18"/>
                                  </w:rPr>
                                  <w:t>求</w:t>
                                </w:r>
                              </w:p>
                            </w:txbxContent>
                          </wps:txbx>
                          <wps:bodyPr rot="0" vert="horz" wrap="square" lIns="0" tIns="0" rIns="0" bIns="0" anchor="t" anchorCtr="0" upright="1">
                            <a:noAutofit/>
                          </wps:bodyPr>
                        </wps:wsp>
                        <wps:wsp>
                          <wps:cNvPr id="110" name="流程图: 可选过程 110"/>
                          <wps:cNvSpPr>
                            <a:spLocks noChangeArrowheads="1"/>
                          </wps:cNvSpPr>
                          <wps:spPr bwMode="auto">
                            <a:xfrm>
                              <a:off x="7141" y="1104539"/>
                              <a:ext cx="624" cy="624"/>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基本</w:t>
                                </w:r>
                              </w:p>
                              <w:p>
                                <w:pPr>
                                  <w:spacing w:line="0" w:lineRule="atLeast"/>
                                  <w:jc w:val="center"/>
                                  <w:rPr>
                                    <w:sz w:val="18"/>
                                    <w:szCs w:val="18"/>
                                  </w:rPr>
                                </w:pPr>
                                <w:r>
                                  <w:rPr>
                                    <w:rFonts w:hint="eastAsia"/>
                                    <w:sz w:val="18"/>
                                    <w:szCs w:val="18"/>
                                  </w:rPr>
                                  <w:t>知识</w:t>
                                </w:r>
                              </w:p>
                            </w:txbxContent>
                          </wps:txbx>
                          <wps:bodyPr rot="0" vert="horz" wrap="square" lIns="0" tIns="0" rIns="0" bIns="0" anchor="t" anchorCtr="0" upright="1">
                            <a:noAutofit/>
                          </wps:bodyPr>
                        </wps:wsp>
                        <wps:wsp>
                          <wps:cNvPr id="134" name="流程图: 可选过程 134"/>
                          <wps:cNvSpPr>
                            <a:spLocks noChangeArrowheads="1"/>
                          </wps:cNvSpPr>
                          <wps:spPr bwMode="auto">
                            <a:xfrm>
                              <a:off x="7141" y="1106303"/>
                              <a:ext cx="624" cy="624"/>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职业</w:t>
                                </w:r>
                              </w:p>
                              <w:p>
                                <w:pPr>
                                  <w:spacing w:line="0" w:lineRule="atLeast"/>
                                  <w:jc w:val="center"/>
                                  <w:rPr>
                                    <w:sz w:val="18"/>
                                    <w:szCs w:val="18"/>
                                  </w:rPr>
                                </w:pPr>
                                <w:r>
                                  <w:rPr>
                                    <w:rFonts w:hint="eastAsia"/>
                                    <w:sz w:val="18"/>
                                    <w:szCs w:val="18"/>
                                  </w:rPr>
                                  <w:t>技能</w:t>
                                </w:r>
                              </w:p>
                            </w:txbxContent>
                          </wps:txbx>
                          <wps:bodyPr rot="0" vert="horz" wrap="square" lIns="0" tIns="0" rIns="0" bIns="0" anchor="t" anchorCtr="0" upright="1">
                            <a:noAutofit/>
                          </wps:bodyPr>
                        </wps:wsp>
                        <wps:wsp>
                          <wps:cNvPr id="147" name="流程图: 可选过程 147"/>
                          <wps:cNvSpPr>
                            <a:spLocks noChangeArrowheads="1"/>
                          </wps:cNvSpPr>
                          <wps:spPr bwMode="auto">
                            <a:xfrm>
                              <a:off x="7141" y="1107647"/>
                              <a:ext cx="624" cy="624"/>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职业</w:t>
                                </w:r>
                              </w:p>
                              <w:p>
                                <w:pPr>
                                  <w:spacing w:line="0" w:lineRule="atLeast"/>
                                  <w:jc w:val="center"/>
                                  <w:rPr>
                                    <w:sz w:val="18"/>
                                    <w:szCs w:val="18"/>
                                  </w:rPr>
                                </w:pPr>
                                <w:r>
                                  <w:rPr>
                                    <w:rFonts w:hint="eastAsia"/>
                                    <w:sz w:val="18"/>
                                    <w:szCs w:val="18"/>
                                  </w:rPr>
                                  <w:t>发展</w:t>
                                </w:r>
                              </w:p>
                            </w:txbxContent>
                          </wps:txbx>
                          <wps:bodyPr rot="0" vert="horz" wrap="square" lIns="0" tIns="0" rIns="0" bIns="0" anchor="t" anchorCtr="0" upright="1">
                            <a:noAutofit/>
                          </wps:bodyPr>
                        </wps:wsp>
                        <wps:wsp>
                          <wps:cNvPr id="95" name="直接连接符 95"/>
                          <wps:cNvCnPr>
                            <a:cxnSpLocks noChangeShapeType="1"/>
                          </wps:cNvCnPr>
                          <wps:spPr bwMode="auto">
                            <a:xfrm flipH="1">
                              <a:off x="10440" y="1104258"/>
                              <a:ext cx="0" cy="3696"/>
                            </a:xfrm>
                            <a:prstGeom prst="line">
                              <a:avLst/>
                            </a:prstGeom>
                            <a:noFill/>
                            <a:ln w="9525">
                              <a:solidFill>
                                <a:srgbClr val="000000"/>
                              </a:solidFill>
                              <a:round/>
                            </a:ln>
                            <a:effectLst/>
                          </wps:spPr>
                          <wps:bodyPr/>
                        </wps:wsp>
                        <wps:wsp>
                          <wps:cNvPr id="106" name="直接连接符 106"/>
                          <wps:cNvCnPr>
                            <a:cxnSpLocks noChangeShapeType="1"/>
                          </wps:cNvCnPr>
                          <wps:spPr bwMode="auto">
                            <a:xfrm>
                              <a:off x="6780" y="1103485"/>
                              <a:ext cx="1" cy="4535"/>
                            </a:xfrm>
                            <a:prstGeom prst="line">
                              <a:avLst/>
                            </a:prstGeom>
                            <a:noFill/>
                            <a:ln w="9525">
                              <a:solidFill>
                                <a:srgbClr val="000000"/>
                              </a:solidFill>
                              <a:round/>
                            </a:ln>
                            <a:effectLst/>
                          </wps:spPr>
                          <wps:bodyPr/>
                        </wps:wsp>
                        <wps:wsp>
                          <wps:cNvPr id="148" name="直接连接符 148"/>
                          <wps:cNvCnPr>
                            <a:cxnSpLocks noChangeShapeType="1"/>
                          </wps:cNvCnPr>
                          <wps:spPr bwMode="auto">
                            <a:xfrm flipV="1">
                              <a:off x="6263" y="1106015"/>
                              <a:ext cx="540" cy="1"/>
                            </a:xfrm>
                            <a:prstGeom prst="line">
                              <a:avLst/>
                            </a:prstGeom>
                            <a:noFill/>
                            <a:ln w="9525">
                              <a:solidFill>
                                <a:srgbClr val="000000"/>
                              </a:solidFill>
                              <a:round/>
                            </a:ln>
                            <a:effectLst/>
                          </wps:spPr>
                          <wps:bodyPr/>
                        </wps:wsp>
                        <wps:wsp>
                          <wps:cNvPr id="126" name="直接连接符 126"/>
                          <wps:cNvCnPr>
                            <a:cxnSpLocks noChangeShapeType="1"/>
                          </wps:cNvCnPr>
                          <wps:spPr bwMode="auto">
                            <a:xfrm flipV="1">
                              <a:off x="6786" y="1108006"/>
                              <a:ext cx="340" cy="0"/>
                            </a:xfrm>
                            <a:prstGeom prst="line">
                              <a:avLst/>
                            </a:prstGeom>
                            <a:noFill/>
                            <a:ln w="9525">
                              <a:solidFill>
                                <a:srgbClr val="000000"/>
                              </a:solidFill>
                              <a:round/>
                            </a:ln>
                            <a:effectLst/>
                          </wps:spPr>
                          <wps:bodyPr/>
                        </wps:wsp>
                        <wps:wsp>
                          <wps:cNvPr id="137" name="直接连接符 137"/>
                          <wps:cNvCnPr>
                            <a:cxnSpLocks noChangeShapeType="1"/>
                          </wps:cNvCnPr>
                          <wps:spPr bwMode="auto">
                            <a:xfrm>
                              <a:off x="6779" y="1106588"/>
                              <a:ext cx="360" cy="0"/>
                            </a:xfrm>
                            <a:prstGeom prst="line">
                              <a:avLst/>
                            </a:prstGeom>
                            <a:noFill/>
                            <a:ln w="9525">
                              <a:solidFill>
                                <a:srgbClr val="000000"/>
                              </a:solidFill>
                              <a:round/>
                            </a:ln>
                            <a:effectLst/>
                          </wps:spPr>
                          <wps:bodyPr/>
                        </wps:wsp>
                        <wps:wsp>
                          <wps:cNvPr id="102" name="直接连接符 102"/>
                          <wps:cNvCnPr>
                            <a:cxnSpLocks noChangeShapeType="1"/>
                          </wps:cNvCnPr>
                          <wps:spPr bwMode="auto">
                            <a:xfrm>
                              <a:off x="6779" y="1104824"/>
                              <a:ext cx="360" cy="0"/>
                            </a:xfrm>
                            <a:prstGeom prst="line">
                              <a:avLst/>
                            </a:prstGeom>
                            <a:noFill/>
                            <a:ln w="9525">
                              <a:solidFill>
                                <a:srgbClr val="000000"/>
                              </a:solidFill>
                              <a:round/>
                            </a:ln>
                            <a:effectLst/>
                          </wps:spPr>
                          <wps:bodyPr/>
                        </wps:wsp>
                        <wps:wsp>
                          <wps:cNvPr id="101" name="直接连接符 101"/>
                          <wps:cNvCnPr>
                            <a:cxnSpLocks noChangeShapeType="1"/>
                          </wps:cNvCnPr>
                          <wps:spPr bwMode="auto">
                            <a:xfrm>
                              <a:off x="6779" y="1103485"/>
                              <a:ext cx="360" cy="0"/>
                            </a:xfrm>
                            <a:prstGeom prst="line">
                              <a:avLst/>
                            </a:prstGeom>
                            <a:noFill/>
                            <a:ln w="9525">
                              <a:solidFill>
                                <a:srgbClr val="000000"/>
                              </a:solidFill>
                              <a:round/>
                            </a:ln>
                            <a:effectLst/>
                          </wps:spPr>
                          <wps:bodyPr/>
                        </wps:wsp>
                        <wps:wsp>
                          <wps:cNvPr id="107" name="流程图: 可选过程 107"/>
                          <wps:cNvSpPr>
                            <a:spLocks noChangeArrowheads="1"/>
                          </wps:cNvSpPr>
                          <wps:spPr bwMode="auto">
                            <a:xfrm>
                              <a:off x="8552" y="1103965"/>
                              <a:ext cx="1260" cy="624"/>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通识必修课、</w:t>
                                </w:r>
                              </w:p>
                              <w:p>
                                <w:pPr>
                                  <w:spacing w:line="0" w:lineRule="atLeast"/>
                                  <w:jc w:val="center"/>
                                  <w:rPr>
                                    <w:sz w:val="18"/>
                                    <w:szCs w:val="18"/>
                                  </w:rPr>
                                </w:pPr>
                                <w:r>
                                  <w:rPr>
                                    <w:rFonts w:hint="eastAsia"/>
                                    <w:sz w:val="18"/>
                                    <w:szCs w:val="18"/>
                                  </w:rPr>
                                  <w:t>选开课</w:t>
                                </w:r>
                              </w:p>
                            </w:txbxContent>
                          </wps:txbx>
                          <wps:bodyPr rot="0" vert="horz" wrap="square" lIns="0" tIns="0" rIns="0" bIns="0" anchor="t" anchorCtr="0" upright="1">
                            <a:noAutofit/>
                          </wps:bodyPr>
                        </wps:wsp>
                        <wps:wsp>
                          <wps:cNvPr id="118" name="流程图: 可选过程 118"/>
                          <wps:cNvSpPr>
                            <a:spLocks noChangeArrowheads="1"/>
                          </wps:cNvSpPr>
                          <wps:spPr bwMode="auto">
                            <a:xfrm>
                              <a:off x="8552" y="1104980"/>
                              <a:ext cx="1260"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专业基础课</w:t>
                                </w:r>
                              </w:p>
                            </w:txbxContent>
                          </wps:txbx>
                          <wps:bodyPr rot="0" vert="horz" wrap="square" lIns="0" tIns="36000" rIns="0" bIns="0" anchor="t" anchorCtr="0" upright="1">
                            <a:noAutofit/>
                          </wps:bodyPr>
                        </wps:wsp>
                        <wps:wsp>
                          <wps:cNvPr id="108" name="直接连接符 108"/>
                          <wps:cNvCnPr>
                            <a:cxnSpLocks noChangeShapeType="1"/>
                          </wps:cNvCnPr>
                          <wps:spPr bwMode="auto">
                            <a:xfrm flipH="1">
                              <a:off x="8249" y="1104250"/>
                              <a:ext cx="1" cy="1015"/>
                            </a:xfrm>
                            <a:prstGeom prst="line">
                              <a:avLst/>
                            </a:prstGeom>
                            <a:noFill/>
                            <a:ln w="9525">
                              <a:solidFill>
                                <a:srgbClr val="000000"/>
                              </a:solidFill>
                              <a:round/>
                            </a:ln>
                            <a:effectLst/>
                          </wps:spPr>
                          <wps:bodyPr/>
                        </wps:wsp>
                        <wps:wsp>
                          <wps:cNvPr id="114" name="直接连接符 114"/>
                          <wps:cNvCnPr>
                            <a:cxnSpLocks noChangeShapeType="1"/>
                          </wps:cNvCnPr>
                          <wps:spPr bwMode="auto">
                            <a:xfrm>
                              <a:off x="8249" y="1104253"/>
                              <a:ext cx="283" cy="0"/>
                            </a:xfrm>
                            <a:prstGeom prst="line">
                              <a:avLst/>
                            </a:prstGeom>
                            <a:noFill/>
                            <a:ln w="9525">
                              <a:solidFill>
                                <a:srgbClr val="000000"/>
                              </a:solidFill>
                              <a:round/>
                            </a:ln>
                            <a:effectLst/>
                          </wps:spPr>
                          <wps:bodyPr/>
                        </wps:wsp>
                        <wps:wsp>
                          <wps:cNvPr id="96" name="直接连接符 96"/>
                          <wps:cNvCnPr/>
                          <wps:spPr>
                            <a:xfrm flipV="1">
                              <a:off x="8249" y="1105265"/>
                              <a:ext cx="294" cy="0"/>
                            </a:xfrm>
                            <a:prstGeom prst="line">
                              <a:avLst/>
                            </a:prstGeom>
                            <a:ln w="9525" cap="flat" cmpd="sng">
                              <a:solidFill>
                                <a:srgbClr val="000000"/>
                              </a:solidFill>
                              <a:prstDash val="solid"/>
                              <a:headEnd type="none" w="med" len="med"/>
                              <a:tailEnd type="none" w="med" len="med"/>
                            </a:ln>
                          </wps:spPr>
                          <wps:bodyPr/>
                        </wps:wsp>
                        <wps:wsp>
                          <wps:cNvPr id="117" name="直接连接符 117"/>
                          <wps:cNvCnPr>
                            <a:cxnSpLocks noChangeShapeType="1"/>
                          </wps:cNvCnPr>
                          <wps:spPr bwMode="auto">
                            <a:xfrm>
                              <a:off x="7772" y="1104820"/>
                              <a:ext cx="454" cy="0"/>
                            </a:xfrm>
                            <a:prstGeom prst="line">
                              <a:avLst/>
                            </a:prstGeom>
                            <a:noFill/>
                            <a:ln w="9525">
                              <a:solidFill>
                                <a:srgbClr val="000000"/>
                              </a:solidFill>
                              <a:round/>
                            </a:ln>
                            <a:effectLst/>
                          </wps:spPr>
                          <wps:bodyPr/>
                        </wps:wsp>
                        <wps:wsp>
                          <wps:cNvPr id="122" name="流程图: 可选过程 122"/>
                          <wps:cNvSpPr>
                            <a:spLocks noChangeArrowheads="1"/>
                          </wps:cNvSpPr>
                          <wps:spPr bwMode="auto">
                            <a:xfrm>
                              <a:off x="8552" y="1105859"/>
                              <a:ext cx="1260" cy="53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专业基础课、专业核心课</w:t>
                                </w:r>
                              </w:p>
                            </w:txbxContent>
                          </wps:txbx>
                          <wps:bodyPr rot="0" vert="horz" wrap="square" lIns="0" tIns="0" rIns="0" bIns="0" anchor="t" anchorCtr="0" upright="1">
                            <a:noAutofit/>
                          </wps:bodyPr>
                        </wps:wsp>
                        <wps:wsp>
                          <wps:cNvPr id="141" name="直接连接符 141"/>
                          <wps:cNvCnPr>
                            <a:cxnSpLocks noChangeShapeType="1"/>
                          </wps:cNvCnPr>
                          <wps:spPr bwMode="auto">
                            <a:xfrm flipV="1">
                              <a:off x="7772" y="1106585"/>
                              <a:ext cx="454" cy="1"/>
                            </a:xfrm>
                            <a:prstGeom prst="line">
                              <a:avLst/>
                            </a:prstGeom>
                            <a:noFill/>
                            <a:ln w="9525">
                              <a:solidFill>
                                <a:srgbClr val="000000"/>
                              </a:solidFill>
                              <a:round/>
                            </a:ln>
                            <a:effectLst/>
                          </wps:spPr>
                          <wps:bodyPr/>
                        </wps:wsp>
                        <wps:wsp>
                          <wps:cNvPr id="135" name="流程图: 可选过程 135"/>
                          <wps:cNvSpPr>
                            <a:spLocks noChangeArrowheads="1"/>
                          </wps:cNvSpPr>
                          <wps:spPr bwMode="auto">
                            <a:xfrm>
                              <a:off x="8552" y="1107719"/>
                              <a:ext cx="1260"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通识选修课</w:t>
                                </w:r>
                              </w:p>
                            </w:txbxContent>
                          </wps:txbx>
                          <wps:bodyPr rot="0" vert="horz" wrap="square" lIns="0" tIns="36000" rIns="0" bIns="0" anchor="t" anchorCtr="0" upright="1">
                            <a:noAutofit/>
                          </wps:bodyPr>
                        </wps:wsp>
                        <wps:wsp>
                          <wps:cNvPr id="104" name="流程图: 可选过程 104"/>
                          <wps:cNvSpPr>
                            <a:spLocks noChangeArrowheads="1"/>
                          </wps:cNvSpPr>
                          <wps:spPr bwMode="auto">
                            <a:xfrm>
                              <a:off x="10859" y="1105417"/>
                              <a:ext cx="1259"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专业技术模块</w:t>
                                </w:r>
                              </w:p>
                            </w:txbxContent>
                          </wps:txbx>
                          <wps:bodyPr rot="0" vert="horz" wrap="square" lIns="0" tIns="36000" rIns="0" bIns="0" anchor="t" anchorCtr="0" upright="1">
                            <a:noAutofit/>
                          </wps:bodyPr>
                        </wps:wsp>
                        <wps:wsp>
                          <wps:cNvPr id="97" name="直接连接符 97"/>
                          <wps:cNvCnPr>
                            <a:cxnSpLocks noChangeShapeType="1"/>
                          </wps:cNvCnPr>
                          <wps:spPr bwMode="auto">
                            <a:xfrm flipV="1">
                              <a:off x="9824" y="1105261"/>
                              <a:ext cx="420" cy="1"/>
                            </a:xfrm>
                            <a:prstGeom prst="line">
                              <a:avLst/>
                            </a:prstGeom>
                            <a:noFill/>
                            <a:ln w="9525">
                              <a:solidFill>
                                <a:srgbClr val="000000"/>
                              </a:solidFill>
                              <a:round/>
                            </a:ln>
                            <a:effectLst/>
                          </wps:spPr>
                          <wps:bodyPr/>
                        </wps:wsp>
                        <wps:wsp>
                          <wps:cNvPr id="132" name="直接连接符 132"/>
                          <wps:cNvCnPr>
                            <a:cxnSpLocks noChangeShapeType="1"/>
                          </wps:cNvCnPr>
                          <wps:spPr bwMode="auto">
                            <a:xfrm>
                              <a:off x="10229" y="1105645"/>
                              <a:ext cx="615" cy="0"/>
                            </a:xfrm>
                            <a:prstGeom prst="line">
                              <a:avLst/>
                            </a:prstGeom>
                            <a:noFill/>
                            <a:ln w="9525">
                              <a:solidFill>
                                <a:srgbClr val="000000"/>
                              </a:solidFill>
                              <a:round/>
                            </a:ln>
                            <a:effectLst/>
                          </wps:spPr>
                          <wps:bodyPr/>
                        </wps:wsp>
                        <wps:wsp>
                          <wps:cNvPr id="113" name="直接连接符 113"/>
                          <wps:cNvCnPr>
                            <a:cxnSpLocks noChangeShapeType="1"/>
                          </wps:cNvCnPr>
                          <wps:spPr bwMode="auto">
                            <a:xfrm flipV="1">
                              <a:off x="7754" y="1103485"/>
                              <a:ext cx="4605" cy="1"/>
                            </a:xfrm>
                            <a:prstGeom prst="line">
                              <a:avLst/>
                            </a:prstGeom>
                            <a:noFill/>
                            <a:ln w="9525">
                              <a:solidFill>
                                <a:srgbClr val="000000"/>
                              </a:solidFill>
                              <a:round/>
                            </a:ln>
                            <a:effectLst/>
                          </wps:spPr>
                          <wps:bodyPr/>
                        </wps:wsp>
                        <wps:wsp>
                          <wps:cNvPr id="100" name="直接连接符 100"/>
                          <wps:cNvCnPr>
                            <a:cxnSpLocks noChangeShapeType="1"/>
                          </wps:cNvCnPr>
                          <wps:spPr bwMode="auto">
                            <a:xfrm>
                              <a:off x="9826" y="1104250"/>
                              <a:ext cx="615" cy="0"/>
                            </a:xfrm>
                            <a:prstGeom prst="line">
                              <a:avLst/>
                            </a:prstGeom>
                            <a:noFill/>
                            <a:ln w="9525">
                              <a:solidFill>
                                <a:srgbClr val="000000"/>
                              </a:solidFill>
                              <a:round/>
                            </a:ln>
                            <a:effectLst/>
                          </wps:spPr>
                          <wps:bodyPr/>
                        </wps:wsp>
                        <wps:wsp>
                          <wps:cNvPr id="140" name="直接连接符 140"/>
                          <wps:cNvCnPr>
                            <a:cxnSpLocks noChangeShapeType="1"/>
                          </wps:cNvCnPr>
                          <wps:spPr bwMode="auto">
                            <a:xfrm flipV="1">
                              <a:off x="9824" y="1107990"/>
                              <a:ext cx="2562" cy="1"/>
                            </a:xfrm>
                            <a:prstGeom prst="line">
                              <a:avLst/>
                            </a:prstGeom>
                            <a:noFill/>
                            <a:ln w="9525">
                              <a:solidFill>
                                <a:srgbClr val="000000"/>
                              </a:solidFill>
                              <a:round/>
                            </a:ln>
                            <a:effectLst/>
                          </wps:spPr>
                          <wps:bodyPr/>
                        </wps:wsp>
                        <wps:wsp>
                          <wps:cNvPr id="119" name="直接连接符 119"/>
                          <wps:cNvCnPr>
                            <a:cxnSpLocks noChangeShapeType="1"/>
                          </wps:cNvCnPr>
                          <wps:spPr bwMode="auto">
                            <a:xfrm>
                              <a:off x="10469" y="1104535"/>
                              <a:ext cx="340" cy="0"/>
                            </a:xfrm>
                            <a:prstGeom prst="line">
                              <a:avLst/>
                            </a:prstGeom>
                            <a:noFill/>
                            <a:ln w="9525">
                              <a:solidFill>
                                <a:srgbClr val="000000"/>
                              </a:solidFill>
                              <a:round/>
                            </a:ln>
                            <a:effectLst/>
                          </wps:spPr>
                          <wps:bodyPr/>
                        </wps:wsp>
                        <wps:wsp>
                          <wps:cNvPr id="105" name="流程图: 可选过程 105"/>
                          <wps:cNvSpPr>
                            <a:spLocks noChangeArrowheads="1"/>
                          </wps:cNvSpPr>
                          <wps:spPr bwMode="auto">
                            <a:xfrm>
                              <a:off x="10859" y="1104250"/>
                              <a:ext cx="1259"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通识模块</w:t>
                                </w:r>
                              </w:p>
                            </w:txbxContent>
                          </wps:txbx>
                          <wps:bodyPr rot="0" vert="horz" wrap="square" lIns="0" tIns="36000" rIns="0" bIns="0" anchor="t" anchorCtr="0" upright="1">
                            <a:noAutofit/>
                          </wps:bodyPr>
                        </wps:wsp>
                        <wps:wsp>
                          <wps:cNvPr id="98" name="直接连接符 98"/>
                          <wps:cNvCnPr>
                            <a:cxnSpLocks noChangeShapeType="1"/>
                          </wps:cNvCnPr>
                          <wps:spPr bwMode="auto">
                            <a:xfrm>
                              <a:off x="12149" y="1105645"/>
                              <a:ext cx="570" cy="0"/>
                            </a:xfrm>
                            <a:prstGeom prst="line">
                              <a:avLst/>
                            </a:prstGeom>
                            <a:noFill/>
                            <a:ln w="9525">
                              <a:solidFill>
                                <a:srgbClr val="000000"/>
                              </a:solidFill>
                              <a:round/>
                            </a:ln>
                            <a:effectLst/>
                          </wps:spPr>
                          <wps:bodyPr/>
                        </wps:wsp>
                        <wps:wsp>
                          <wps:cNvPr id="123" name="直接连接符 123"/>
                          <wps:cNvCnPr>
                            <a:cxnSpLocks noChangeShapeType="1"/>
                          </wps:cNvCnPr>
                          <wps:spPr bwMode="auto">
                            <a:xfrm flipV="1">
                              <a:off x="12128" y="1106905"/>
                              <a:ext cx="615" cy="3"/>
                            </a:xfrm>
                            <a:prstGeom prst="line">
                              <a:avLst/>
                            </a:prstGeom>
                            <a:noFill/>
                            <a:ln w="9525">
                              <a:solidFill>
                                <a:srgbClr val="000000"/>
                              </a:solidFill>
                              <a:round/>
                            </a:ln>
                            <a:effectLst/>
                          </wps:spPr>
                          <wps:bodyPr/>
                        </wps:wsp>
                        <wps:wsp>
                          <wps:cNvPr id="109" name="直接连接符 109"/>
                          <wps:cNvCnPr>
                            <a:cxnSpLocks noChangeShapeType="1"/>
                          </wps:cNvCnPr>
                          <wps:spPr bwMode="auto">
                            <a:xfrm>
                              <a:off x="12134" y="1104535"/>
                              <a:ext cx="630" cy="0"/>
                            </a:xfrm>
                            <a:prstGeom prst="line">
                              <a:avLst/>
                            </a:prstGeom>
                            <a:noFill/>
                            <a:ln w="9525">
                              <a:solidFill>
                                <a:srgbClr val="000000"/>
                              </a:solidFill>
                              <a:round/>
                            </a:ln>
                            <a:effectLst/>
                          </wps:spPr>
                          <wps:bodyPr/>
                        </wps:wsp>
                        <wps:wsp>
                          <wps:cNvPr id="94" name="直接连接符 94"/>
                          <wps:cNvCnPr>
                            <a:cxnSpLocks noChangeShapeType="1"/>
                          </wps:cNvCnPr>
                          <wps:spPr bwMode="auto">
                            <a:xfrm>
                              <a:off x="12764" y="1105645"/>
                              <a:ext cx="321" cy="0"/>
                            </a:xfrm>
                            <a:prstGeom prst="line">
                              <a:avLst/>
                            </a:prstGeom>
                            <a:noFill/>
                            <a:ln w="9525">
                              <a:solidFill>
                                <a:srgbClr val="000000"/>
                              </a:solidFill>
                              <a:round/>
                            </a:ln>
                            <a:effectLst/>
                          </wps:spPr>
                          <wps:bodyPr/>
                        </wps:wsp>
                        <wps:wsp>
                          <wps:cNvPr id="103" name="直接连接符 103"/>
                          <wps:cNvCnPr>
                            <a:cxnSpLocks noChangeShapeType="1"/>
                          </wps:cNvCnPr>
                          <wps:spPr bwMode="auto">
                            <a:xfrm flipH="1">
                              <a:off x="12383" y="1103503"/>
                              <a:ext cx="0" cy="4479"/>
                            </a:xfrm>
                            <a:prstGeom prst="line">
                              <a:avLst/>
                            </a:prstGeom>
                            <a:noFill/>
                            <a:ln w="12700" cap="rnd">
                              <a:solidFill>
                                <a:srgbClr val="000000"/>
                              </a:solidFill>
                              <a:prstDash val="sysDot"/>
                              <a:round/>
                            </a:ln>
                            <a:effectLst/>
                          </wps:spPr>
                          <wps:bodyPr/>
                        </wps:wsp>
                        <wps:wsp>
                          <wps:cNvPr id="116" name="流程图: 可选过程 116"/>
                          <wps:cNvSpPr>
                            <a:spLocks noChangeArrowheads="1"/>
                          </wps:cNvSpPr>
                          <wps:spPr bwMode="auto">
                            <a:xfrm>
                              <a:off x="13085" y="1104682"/>
                              <a:ext cx="525" cy="202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营</w:t>
                                </w:r>
                              </w:p>
                              <w:p>
                                <w:pPr>
                                  <w:spacing w:line="0" w:lineRule="atLeast"/>
                                  <w:jc w:val="center"/>
                                  <w:rPr>
                                    <w:sz w:val="18"/>
                                    <w:szCs w:val="18"/>
                                  </w:rPr>
                                </w:pPr>
                                <w:r>
                                  <w:rPr>
                                    <w:rFonts w:hint="eastAsia"/>
                                    <w:sz w:val="18"/>
                                    <w:szCs w:val="18"/>
                                  </w:rPr>
                                  <w:t>销</w:t>
                                </w:r>
                              </w:p>
                              <w:p>
                                <w:pPr>
                                  <w:spacing w:line="0" w:lineRule="atLeast"/>
                                  <w:jc w:val="center"/>
                                  <w:rPr>
                                    <w:sz w:val="18"/>
                                    <w:szCs w:val="18"/>
                                  </w:rPr>
                                </w:pPr>
                                <w:r>
                                  <w:rPr>
                                    <w:rFonts w:hint="eastAsia"/>
                                    <w:sz w:val="18"/>
                                    <w:szCs w:val="18"/>
                                  </w:rPr>
                                  <w:t>专</w:t>
                                </w:r>
                              </w:p>
                              <w:p>
                                <w:pPr>
                                  <w:spacing w:line="0" w:lineRule="atLeast"/>
                                  <w:jc w:val="center"/>
                                  <w:rPr>
                                    <w:sz w:val="18"/>
                                    <w:szCs w:val="18"/>
                                  </w:rPr>
                                </w:pPr>
                                <w:r>
                                  <w:rPr>
                                    <w:rFonts w:hint="eastAsia"/>
                                    <w:sz w:val="18"/>
                                    <w:szCs w:val="18"/>
                                  </w:rPr>
                                  <w:t>业</w:t>
                                </w:r>
                              </w:p>
                              <w:p>
                                <w:pPr>
                                  <w:spacing w:line="0" w:lineRule="atLeast"/>
                                  <w:jc w:val="center"/>
                                  <w:rPr>
                                    <w:sz w:val="18"/>
                                    <w:szCs w:val="18"/>
                                  </w:rPr>
                                </w:pPr>
                                <w:r>
                                  <w:rPr>
                                    <w:rFonts w:hint="eastAsia"/>
                                    <w:sz w:val="18"/>
                                    <w:szCs w:val="18"/>
                                  </w:rPr>
                                  <w:t>课</w:t>
                                </w:r>
                              </w:p>
                              <w:p>
                                <w:pPr>
                                  <w:spacing w:line="0" w:lineRule="atLeast"/>
                                  <w:jc w:val="center"/>
                                  <w:rPr>
                                    <w:sz w:val="18"/>
                                    <w:szCs w:val="18"/>
                                  </w:rPr>
                                </w:pPr>
                                <w:r>
                                  <w:rPr>
                                    <w:rFonts w:hint="eastAsia"/>
                                    <w:sz w:val="18"/>
                                    <w:szCs w:val="18"/>
                                  </w:rPr>
                                  <w:t>程</w:t>
                                </w:r>
                              </w:p>
                              <w:p>
                                <w:pPr>
                                  <w:spacing w:line="0" w:lineRule="atLeast"/>
                                  <w:jc w:val="center"/>
                                  <w:rPr>
                                    <w:sz w:val="18"/>
                                    <w:szCs w:val="18"/>
                                  </w:rPr>
                                </w:pPr>
                                <w:r>
                                  <w:rPr>
                                    <w:rFonts w:hint="eastAsia"/>
                                    <w:sz w:val="18"/>
                                    <w:szCs w:val="18"/>
                                  </w:rPr>
                                  <w:t>体</w:t>
                                </w:r>
                              </w:p>
                              <w:p>
                                <w:pPr>
                                  <w:spacing w:line="0" w:lineRule="atLeast"/>
                                  <w:jc w:val="center"/>
                                  <w:rPr>
                                    <w:sz w:val="18"/>
                                    <w:szCs w:val="18"/>
                                  </w:rPr>
                                </w:pPr>
                                <w:r>
                                  <w:rPr>
                                    <w:rFonts w:hint="eastAsia"/>
                                    <w:sz w:val="18"/>
                                    <w:szCs w:val="18"/>
                                  </w:rPr>
                                  <w:t>系</w:t>
                                </w:r>
                              </w:p>
                            </w:txbxContent>
                          </wps:txbx>
                          <wps:bodyPr rot="0" vert="horz" wrap="square" lIns="0" tIns="0" rIns="0" bIns="0" anchor="t" anchorCtr="0" upright="1">
                            <a:noAutofit/>
                          </wps:bodyPr>
                        </wps:wsp>
                        <wps:wsp>
                          <wps:cNvPr id="149" name="流程图: 可选过程 149"/>
                          <wps:cNvSpPr>
                            <a:spLocks noChangeArrowheads="1"/>
                          </wps:cNvSpPr>
                          <wps:spPr bwMode="auto">
                            <a:xfrm>
                              <a:off x="10859" y="1106741"/>
                              <a:ext cx="1259"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职业技能模块</w:t>
                                </w:r>
                              </w:p>
                            </w:txbxContent>
                          </wps:txbx>
                          <wps:bodyPr rot="0" vert="horz" wrap="square" lIns="0" tIns="36000" rIns="0" bIns="0" anchor="t" anchorCtr="0" upright="1">
                            <a:noAutofit/>
                          </wps:bodyPr>
                        </wps:wsp>
                        <wps:wsp>
                          <wps:cNvPr id="133" name="直接连接符 133"/>
                          <wps:cNvCnPr>
                            <a:cxnSpLocks noChangeShapeType="1"/>
                          </wps:cNvCnPr>
                          <wps:spPr bwMode="auto">
                            <a:xfrm flipH="1">
                              <a:off x="8234" y="1106015"/>
                              <a:ext cx="1" cy="907"/>
                            </a:xfrm>
                            <a:prstGeom prst="line">
                              <a:avLst/>
                            </a:prstGeom>
                            <a:noFill/>
                            <a:ln w="9525">
                              <a:solidFill>
                                <a:srgbClr val="000000"/>
                              </a:solidFill>
                              <a:round/>
                            </a:ln>
                            <a:effectLst/>
                          </wps:spPr>
                          <wps:bodyPr/>
                        </wps:wsp>
                        <wps:wsp>
                          <wps:cNvPr id="139" name="直接连接符 139"/>
                          <wps:cNvCnPr>
                            <a:cxnSpLocks noChangeShapeType="1"/>
                          </wps:cNvCnPr>
                          <wps:spPr bwMode="auto">
                            <a:xfrm>
                              <a:off x="8234" y="1106015"/>
                              <a:ext cx="283" cy="0"/>
                            </a:xfrm>
                            <a:prstGeom prst="line">
                              <a:avLst/>
                            </a:prstGeom>
                            <a:noFill/>
                            <a:ln w="9525">
                              <a:solidFill>
                                <a:srgbClr val="000000"/>
                              </a:solidFill>
                              <a:round/>
                            </a:ln>
                            <a:effectLst/>
                          </wps:spPr>
                          <wps:bodyPr/>
                        </wps:wsp>
                        <wps:wsp>
                          <wps:cNvPr id="151" name="直接连接符 151"/>
                          <wps:cNvCnPr>
                            <a:cxnSpLocks noChangeShapeType="1"/>
                          </wps:cNvCnPr>
                          <wps:spPr bwMode="auto">
                            <a:xfrm>
                              <a:off x="8248" y="1106929"/>
                              <a:ext cx="2608" cy="0"/>
                            </a:xfrm>
                            <a:prstGeom prst="line">
                              <a:avLst/>
                            </a:prstGeom>
                            <a:noFill/>
                            <a:ln w="9525">
                              <a:solidFill>
                                <a:srgbClr val="000000"/>
                              </a:solidFill>
                              <a:round/>
                            </a:ln>
                            <a:effectLst/>
                          </wps:spPr>
                          <wps:bodyPr/>
                        </wps:wsp>
                        <wps:wsp>
                          <wps:cNvPr id="136" name="直接连接符 136"/>
                          <wps:cNvCnPr>
                            <a:cxnSpLocks noChangeShapeType="1"/>
                          </wps:cNvCnPr>
                          <wps:spPr bwMode="auto">
                            <a:xfrm>
                              <a:off x="7778" y="1107970"/>
                              <a:ext cx="765" cy="0"/>
                            </a:xfrm>
                            <a:prstGeom prst="line">
                              <a:avLst/>
                            </a:prstGeom>
                            <a:noFill/>
                            <a:ln w="9525">
                              <a:solidFill>
                                <a:srgbClr val="000000"/>
                              </a:solidFill>
                              <a:round/>
                            </a:ln>
                            <a:effectLst/>
                          </wps:spPr>
                          <wps:bodyPr/>
                        </wps:wsp>
                        <wps:wsp>
                          <wps:cNvPr id="99" name="直接连接符 99"/>
                          <wps:cNvCnPr>
                            <a:cxnSpLocks noChangeShapeType="1"/>
                          </wps:cNvCnPr>
                          <wps:spPr bwMode="auto">
                            <a:xfrm flipH="1">
                              <a:off x="10243" y="1105261"/>
                              <a:ext cx="1" cy="780"/>
                            </a:xfrm>
                            <a:prstGeom prst="line">
                              <a:avLst/>
                            </a:prstGeom>
                            <a:noFill/>
                            <a:ln w="9525">
                              <a:solidFill>
                                <a:srgbClr val="000000"/>
                              </a:solidFill>
                              <a:round/>
                            </a:ln>
                            <a:effectLst/>
                          </wps:spPr>
                          <wps:bodyPr/>
                        </wps:wsp>
                        <wps:wsp>
                          <wps:cNvPr id="314" name="直接连接符 314"/>
                          <wps:cNvCnPr>
                            <a:cxnSpLocks noChangeShapeType="1"/>
                          </wps:cNvCnPr>
                          <wps:spPr bwMode="auto">
                            <a:xfrm flipV="1">
                              <a:off x="9824" y="1106046"/>
                              <a:ext cx="420" cy="1"/>
                            </a:xfrm>
                            <a:prstGeom prst="line">
                              <a:avLst/>
                            </a:prstGeom>
                            <a:noFill/>
                            <a:ln w="9525">
                              <a:solidFill>
                                <a:srgbClr val="000000"/>
                              </a:solidFill>
                              <a:round/>
                            </a:ln>
                            <a:effectLst/>
                          </wps:spPr>
                          <wps:bodyPr/>
                        </wps:wsp>
                      </wpg:grpSp>
                    </wpg:wgp>
                  </a:graphicData>
                </a:graphic>
              </wp:anchor>
            </w:drawing>
          </mc:Choice>
          <mc:Fallback>
            <w:pict>
              <v:group id="_x0000_s1026" o:spid="_x0000_s1026" o:spt="203" style="position:absolute;left:0pt;margin-left:15.75pt;margin-top:11.95pt;height:254.7pt;width:394pt;z-index:251660288;mso-width-relative:page;mso-height-relative:page;" coordorigin="14423,361580" coordsize="7880,5094" o:gfxdata="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">
                <o:lock v:ext="edit" aspectratio="f"/>
                <v:line id="_x0000_s1026" o:spid="_x0000_s1026" o:spt="20" style="position:absolute;left:21446;top:362931;flip:x;height:2392;width:1;" filled="f" stroked="t" coordsize="21600,21600" o:gfxdata="UEsDBAoAAAAAAIdO4kAAAAAAAAAAAAAAAAAEAAAAZHJzL1BLAwQUAAAACACHTuJARW1YM7sAAADc&#10;AAAADwAAAGRycy9kb3ducmV2LnhtbEVP32vCMBB+F/wfwgl706QOxX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1Y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14423;top:361580;height:5095;width:7881;" coordorigin="5729,1103176" coordsize="7881,5095"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shape id="_x0000_s1026" o:spid="_x0000_s1026" o:spt="176" type="#_x0000_t176" style="position:absolute;left:7141;top:1103176;height:624;width:624;" fillcolor="#FFFFFF" filled="t" stroked="t" coordsize="21600,21600" o:gfxdata="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H+x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基本</w:t>
                          </w:r>
                        </w:p>
                        <w:p>
                          <w:pPr>
                            <w:spacing w:line="0" w:lineRule="atLeast"/>
                            <w:jc w:val="center"/>
                            <w:rPr>
                              <w:sz w:val="18"/>
                              <w:szCs w:val="18"/>
                            </w:rPr>
                          </w:pPr>
                          <w:r>
                            <w:rPr>
                              <w:rFonts w:hint="eastAsia"/>
                              <w:sz w:val="18"/>
                              <w:szCs w:val="18"/>
                            </w:rPr>
                            <w:t>素养</w:t>
                          </w:r>
                        </w:p>
                      </w:txbxContent>
                    </v:textbox>
                  </v:shape>
                  <v:shape id="_x0000_s1026" o:spid="_x0000_s1026" o:spt="176" type="#_x0000_t176" style="position:absolute;left:5729;top:1104695;height:2496;width:525;" fillcolor="#FFFFFF" filled="t" stroked="t" coordsize="21600,21600" o:gfxdata="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VZW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营</w:t>
                          </w:r>
                        </w:p>
                        <w:p>
                          <w:pPr>
                            <w:spacing w:line="0" w:lineRule="atLeast"/>
                            <w:jc w:val="center"/>
                            <w:rPr>
                              <w:sz w:val="18"/>
                              <w:szCs w:val="18"/>
                            </w:rPr>
                          </w:pPr>
                          <w:r>
                            <w:rPr>
                              <w:rFonts w:hint="eastAsia"/>
                              <w:sz w:val="18"/>
                              <w:szCs w:val="18"/>
                            </w:rPr>
                            <w:t>销</w:t>
                          </w:r>
                        </w:p>
                        <w:p>
                          <w:pPr>
                            <w:spacing w:line="0" w:lineRule="atLeast"/>
                            <w:jc w:val="center"/>
                            <w:rPr>
                              <w:sz w:val="18"/>
                              <w:szCs w:val="18"/>
                            </w:rPr>
                          </w:pPr>
                          <w:r>
                            <w:rPr>
                              <w:rFonts w:hint="eastAsia"/>
                              <w:sz w:val="18"/>
                              <w:szCs w:val="18"/>
                            </w:rPr>
                            <w:t>工</w:t>
                          </w:r>
                        </w:p>
                        <w:p>
                          <w:pPr>
                            <w:spacing w:line="0" w:lineRule="atLeast"/>
                            <w:jc w:val="center"/>
                            <w:rPr>
                              <w:sz w:val="18"/>
                              <w:szCs w:val="18"/>
                            </w:rPr>
                          </w:pPr>
                          <w:r>
                            <w:rPr>
                              <w:rFonts w:hint="eastAsia"/>
                              <w:sz w:val="18"/>
                              <w:szCs w:val="18"/>
                            </w:rPr>
                            <w:t>作</w:t>
                          </w:r>
                        </w:p>
                        <w:p>
                          <w:pPr>
                            <w:spacing w:line="0" w:lineRule="atLeast"/>
                            <w:jc w:val="center"/>
                            <w:rPr>
                              <w:sz w:val="18"/>
                              <w:szCs w:val="18"/>
                            </w:rPr>
                          </w:pPr>
                          <w:r>
                            <w:rPr>
                              <w:rFonts w:hint="eastAsia"/>
                              <w:sz w:val="18"/>
                              <w:szCs w:val="18"/>
                            </w:rPr>
                            <w:t>岗</w:t>
                          </w:r>
                        </w:p>
                        <w:p>
                          <w:pPr>
                            <w:spacing w:line="0" w:lineRule="atLeast"/>
                            <w:jc w:val="center"/>
                            <w:rPr>
                              <w:sz w:val="18"/>
                              <w:szCs w:val="18"/>
                            </w:rPr>
                          </w:pPr>
                          <w:r>
                            <w:rPr>
                              <w:rFonts w:hint="eastAsia"/>
                              <w:sz w:val="18"/>
                              <w:szCs w:val="18"/>
                            </w:rPr>
                            <w:t>位</w:t>
                          </w:r>
                        </w:p>
                        <w:p>
                          <w:pPr>
                            <w:spacing w:line="0" w:lineRule="atLeast"/>
                            <w:jc w:val="center"/>
                            <w:rPr>
                              <w:sz w:val="18"/>
                              <w:szCs w:val="18"/>
                            </w:rPr>
                          </w:pPr>
                          <w:r>
                            <w:rPr>
                              <w:rFonts w:hint="eastAsia"/>
                              <w:sz w:val="18"/>
                              <w:szCs w:val="18"/>
                            </w:rPr>
                            <w:t>人</w:t>
                          </w:r>
                        </w:p>
                        <w:p>
                          <w:pPr>
                            <w:spacing w:line="0" w:lineRule="atLeast"/>
                            <w:jc w:val="center"/>
                            <w:rPr>
                              <w:sz w:val="18"/>
                              <w:szCs w:val="18"/>
                            </w:rPr>
                          </w:pPr>
                          <w:r>
                            <w:rPr>
                              <w:rFonts w:hint="eastAsia"/>
                              <w:sz w:val="18"/>
                              <w:szCs w:val="18"/>
                            </w:rPr>
                            <w:t>才</w:t>
                          </w:r>
                        </w:p>
                        <w:p>
                          <w:pPr>
                            <w:spacing w:line="0" w:lineRule="atLeast"/>
                            <w:jc w:val="center"/>
                            <w:rPr>
                              <w:sz w:val="18"/>
                              <w:szCs w:val="18"/>
                            </w:rPr>
                          </w:pPr>
                          <w:r>
                            <w:rPr>
                              <w:rFonts w:hint="eastAsia"/>
                              <w:sz w:val="18"/>
                              <w:szCs w:val="18"/>
                            </w:rPr>
                            <w:t>要</w:t>
                          </w:r>
                        </w:p>
                        <w:p>
                          <w:pPr>
                            <w:spacing w:line="0" w:lineRule="atLeast"/>
                            <w:jc w:val="center"/>
                            <w:rPr>
                              <w:sz w:val="18"/>
                              <w:szCs w:val="18"/>
                            </w:rPr>
                          </w:pPr>
                          <w:r>
                            <w:rPr>
                              <w:rFonts w:hint="eastAsia"/>
                              <w:sz w:val="18"/>
                              <w:szCs w:val="18"/>
                            </w:rPr>
                            <w:t>求</w:t>
                          </w:r>
                        </w:p>
                      </w:txbxContent>
                    </v:textbox>
                  </v:shape>
                  <v:shape id="_x0000_s1026" o:spid="_x0000_s1026" o:spt="176" type="#_x0000_t176" style="position:absolute;left:7141;top:1104539;height:624;width:624;" fillcolor="#FFFFFF" filled="t" stroked="t" coordsize="21600,21600" o:gfxdata="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ZwP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基本</w:t>
                          </w:r>
                        </w:p>
                        <w:p>
                          <w:pPr>
                            <w:spacing w:line="0" w:lineRule="atLeast"/>
                            <w:jc w:val="center"/>
                            <w:rPr>
                              <w:sz w:val="18"/>
                              <w:szCs w:val="18"/>
                            </w:rPr>
                          </w:pPr>
                          <w:r>
                            <w:rPr>
                              <w:rFonts w:hint="eastAsia"/>
                              <w:sz w:val="18"/>
                              <w:szCs w:val="18"/>
                            </w:rPr>
                            <w:t>知识</w:t>
                          </w:r>
                        </w:p>
                      </w:txbxContent>
                    </v:textbox>
                  </v:shape>
                  <v:shape id="_x0000_s1026" o:spid="_x0000_s1026" o:spt="176" type="#_x0000_t176" style="position:absolute;left:7141;top:1106303;height:624;width:624;" fillcolor="#FFFFFF" filled="t" stroked="t" coordsize="21600,21600" o:gfxdata="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V5q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职业</w:t>
                          </w:r>
                        </w:p>
                        <w:p>
                          <w:pPr>
                            <w:spacing w:line="0" w:lineRule="atLeast"/>
                            <w:jc w:val="center"/>
                            <w:rPr>
                              <w:sz w:val="18"/>
                              <w:szCs w:val="18"/>
                            </w:rPr>
                          </w:pPr>
                          <w:r>
                            <w:rPr>
                              <w:rFonts w:hint="eastAsia"/>
                              <w:sz w:val="18"/>
                              <w:szCs w:val="18"/>
                            </w:rPr>
                            <w:t>技能</w:t>
                          </w:r>
                        </w:p>
                      </w:txbxContent>
                    </v:textbox>
                  </v:shape>
                  <v:shape id="_x0000_s1026" o:spid="_x0000_s1026" o:spt="176" type="#_x0000_t176" style="position:absolute;left:7141;top:1107647;height:624;width:624;" fillcolor="#FFFFFF" filled="t" stroked="t" coordsize="21600,21600" o:gfxdata="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d5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职业</w:t>
                          </w:r>
                        </w:p>
                        <w:p>
                          <w:pPr>
                            <w:spacing w:line="0" w:lineRule="atLeast"/>
                            <w:jc w:val="center"/>
                            <w:rPr>
                              <w:sz w:val="18"/>
                              <w:szCs w:val="18"/>
                            </w:rPr>
                          </w:pPr>
                          <w:r>
                            <w:rPr>
                              <w:rFonts w:hint="eastAsia"/>
                              <w:sz w:val="18"/>
                              <w:szCs w:val="18"/>
                            </w:rPr>
                            <w:t>发展</w:t>
                          </w:r>
                        </w:p>
                      </w:txbxContent>
                    </v:textbox>
                  </v:shape>
                  <v:line id="_x0000_s1026" o:spid="_x0000_s1026" o:spt="20" style="position:absolute;left:10440;top:1104258;flip:x;height:3696;width:0;" filled="f" stroked="t" coordsize="21600,21600" o:gfxdata="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WTk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780;top:1103485;height:4535;width:1;"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263;top:1106015;flip:y;height:1;width:540;" filled="f" stroked="t" coordsize="21600,21600" o:gfxdata="UEsDBAoAAAAAAIdO4kAAAAAAAAAAAAAAAAAEAAAAZHJzL1BLAwQUAAAACACHTuJAuN/YsL4AAADc&#10;AAAADwAAAGRycy9kb3ducmV2LnhtbEWPQWvCQBCF7wX/wzIFb3VXK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786;top:1108006;flip:y;height:0;width:340;" filled="f" stroked="t" coordsize="21600,21600" o:gfxdata="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9MM+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779;top:1106588;height:0;width:36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779;top:1104824;height:0;width:360;"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779;top:1103485;height:0;width:360;" filled="f" stroked="t" coordsize="21600,21600" o:gfxdata="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P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76" type="#_x0000_t176" style="position:absolute;left:8552;top:1103965;height:624;width:1260;" fillcolor="#FFFFFF" filled="t" stroked="t" coordsize="21600,21600" o:gfxdata="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6c5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通识必修课、</w:t>
                          </w:r>
                        </w:p>
                        <w:p>
                          <w:pPr>
                            <w:spacing w:line="0" w:lineRule="atLeast"/>
                            <w:jc w:val="center"/>
                            <w:rPr>
                              <w:sz w:val="18"/>
                              <w:szCs w:val="18"/>
                            </w:rPr>
                          </w:pPr>
                          <w:r>
                            <w:rPr>
                              <w:rFonts w:hint="eastAsia"/>
                              <w:sz w:val="18"/>
                              <w:szCs w:val="18"/>
                            </w:rPr>
                            <w:t>选开课</w:t>
                          </w:r>
                        </w:p>
                      </w:txbxContent>
                    </v:textbox>
                  </v:shape>
                  <v:shape id="_x0000_s1026" o:spid="_x0000_s1026" o:spt="176" type="#_x0000_t176" style="position:absolute;left:8552;top:1104980;height:468;width:1260;" fillcolor="#FFFFFF" filled="t" stroked="t" coordsize="21600,21600" o:gfxdata="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gm8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专业基础课</w:t>
                          </w:r>
                        </w:p>
                      </w:txbxContent>
                    </v:textbox>
                  </v:shape>
                  <v:line id="_x0000_s1026" o:spid="_x0000_s1026" o:spt="20" style="position:absolute;left:8249;top:1104250;flip:x;height:1015;width:1;" filled="f" stroked="t" coordsize="21600,21600" o:gfxdata="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Vhc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8249;top:1104253;height:0;width:283;" filled="f" stroked="t" coordsize="21600,21600" o:gfxdata="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8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8249;top:1105265;flip:y;height:0;width:294;" filled="f" stroked="t" coordsize="21600,21600" o:gfxdata="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0TQN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772;top:1104820;height:0;width:454;" filled="f" stroked="t" coordsize="21600,21600" o:gfxdata="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2X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76" type="#_x0000_t176" style="position:absolute;left:8552;top:1105859;height:538;width:1260;" fillcolor="#FFFFFF" filled="t" stroked="t" coordsize="21600,21600" o:gfxdata="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rMa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专业基础课、专业核心课</w:t>
                          </w:r>
                        </w:p>
                      </w:txbxContent>
                    </v:textbox>
                  </v:shape>
                  <v:line id="_x0000_s1026" o:spid="_x0000_s1026" o:spt="20" style="position:absolute;left:7772;top:1106585;flip:y;height:1;width:454;" filled="f" stroked="t" coordsize="21600,21600"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76" type="#_x0000_t176" style="position:absolute;left:8552;top:1107719;height:468;width:1260;" fillcolor="#FFFFFF" filled="t" stroked="t" coordsize="21600,21600" o:gfxdata="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lGg5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通识选修课</w:t>
                          </w:r>
                        </w:p>
                      </w:txbxContent>
                    </v:textbox>
                  </v:shape>
                  <v:shape id="_x0000_s1026" o:spid="_x0000_s1026" o:spt="176" type="#_x0000_t176" style="position:absolute;left:10859;top:1105417;height:468;width:1259;" fillcolor="#FFFFFF" filled="t" stroked="t" coordsize="21600,21600" o:gfxdata="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0Bx+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专业技术模块</w:t>
                          </w:r>
                        </w:p>
                      </w:txbxContent>
                    </v:textbox>
                  </v:shape>
                  <v:line id="_x0000_s1026" o:spid="_x0000_s1026" o:spt="20" style="position:absolute;left:9824;top:1105261;flip:y;height:1;width:420;" filled="f" stroked="t" coordsize="21600,21600" o:gfxdata="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Ida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229;top:1105645;height:0;width:615;"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754;top:1103485;flip:y;height:1;width:4605;"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9826;top:1104250;height:0;width:615;"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824;top:1107990;flip:y;height:1;width:2562;"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0469;top:1104535;height:0;width:340;" filled="f" stroked="t" coordsize="21600,21600"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76" type="#_x0000_t176" style="position:absolute;left:10859;top:1104250;height:468;width:1259;" fillcolor="#FFFFFF" filled="t" stroked="t" coordsize="21600,21600" o:gfxdata="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iih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通识模块</w:t>
                          </w:r>
                        </w:p>
                      </w:txbxContent>
                    </v:textbox>
                  </v:shape>
                  <v:line id="_x0000_s1026" o:spid="_x0000_s1026" o:spt="20" style="position:absolute;left:12149;top:1105645;height:0;width:570;"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2128;top:1106905;flip:y;height:3;width:615;" filled="f" stroked="t" coordsize="21600,21600" o:gfxdata="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6SvY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2134;top:1104535;height:0;width:630;" filled="f" stroked="t" coordsize="21600,21600"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2764;top:1105645;height:0;width:321;" filled="f" stroked="t" coordsize="21600,21600" o:gfxdata="UEsDBAoAAAAAAIdO4kAAAAAAAAAAAAAAAAAEAAAAZHJzL1BLAwQUAAAACACHTuJANdTV8b8AAADb&#10;AAAADwAAAGRycy9kb3ducmV2LnhtbEWPS2vDMBCE74X8B7GBXkIi2S2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1f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2383;top:1103503;flip:x;height:4479;width:0;" filled="f" stroked="t" coordsize="21600,21600" o:gfxdata="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Pt2u8AAAA&#10;3AAAAA8AAAAAAAAAAQAgAAAAIgAAAGRycy9kb3ducmV2LnhtbFBLAQIUABQAAAAIAIdO4kAzLwWe&#10;OwAAADkAAAAQAAAAAAAAAAEAIAAAAAsBAABkcnMvc2hhcGV4bWwueG1sUEsFBgAAAAAGAAYAWwEA&#10;ALUDAAAAAA==&#10;">
                    <v:fill on="f" focussize="0,0"/>
                    <v:stroke weight="1pt" color="#000000" joinstyle="round" dashstyle="1 1" endcap="round"/>
                    <v:imagedata o:title=""/>
                    <o:lock v:ext="edit" aspectratio="f"/>
                  </v:line>
                  <v:shape id="_x0000_s1026" o:spid="_x0000_s1026" o:spt="176" type="#_x0000_t176" style="position:absolute;left:13085;top:1104682;height:2028;width:525;" fillcolor="#FFFFFF" filled="t" stroked="t" coordsize="21600,21600" o:gfxdata="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fP0T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营</w:t>
                          </w:r>
                        </w:p>
                        <w:p>
                          <w:pPr>
                            <w:spacing w:line="0" w:lineRule="atLeast"/>
                            <w:jc w:val="center"/>
                            <w:rPr>
                              <w:sz w:val="18"/>
                              <w:szCs w:val="18"/>
                            </w:rPr>
                          </w:pPr>
                          <w:r>
                            <w:rPr>
                              <w:rFonts w:hint="eastAsia"/>
                              <w:sz w:val="18"/>
                              <w:szCs w:val="18"/>
                            </w:rPr>
                            <w:t>销</w:t>
                          </w:r>
                        </w:p>
                        <w:p>
                          <w:pPr>
                            <w:spacing w:line="0" w:lineRule="atLeast"/>
                            <w:jc w:val="center"/>
                            <w:rPr>
                              <w:sz w:val="18"/>
                              <w:szCs w:val="18"/>
                            </w:rPr>
                          </w:pPr>
                          <w:r>
                            <w:rPr>
                              <w:rFonts w:hint="eastAsia"/>
                              <w:sz w:val="18"/>
                              <w:szCs w:val="18"/>
                            </w:rPr>
                            <w:t>专</w:t>
                          </w:r>
                        </w:p>
                        <w:p>
                          <w:pPr>
                            <w:spacing w:line="0" w:lineRule="atLeast"/>
                            <w:jc w:val="center"/>
                            <w:rPr>
                              <w:sz w:val="18"/>
                              <w:szCs w:val="18"/>
                            </w:rPr>
                          </w:pPr>
                          <w:r>
                            <w:rPr>
                              <w:rFonts w:hint="eastAsia"/>
                              <w:sz w:val="18"/>
                              <w:szCs w:val="18"/>
                            </w:rPr>
                            <w:t>业</w:t>
                          </w:r>
                        </w:p>
                        <w:p>
                          <w:pPr>
                            <w:spacing w:line="0" w:lineRule="atLeast"/>
                            <w:jc w:val="center"/>
                            <w:rPr>
                              <w:sz w:val="18"/>
                              <w:szCs w:val="18"/>
                            </w:rPr>
                          </w:pPr>
                          <w:r>
                            <w:rPr>
                              <w:rFonts w:hint="eastAsia"/>
                              <w:sz w:val="18"/>
                              <w:szCs w:val="18"/>
                            </w:rPr>
                            <w:t>课</w:t>
                          </w:r>
                        </w:p>
                        <w:p>
                          <w:pPr>
                            <w:spacing w:line="0" w:lineRule="atLeast"/>
                            <w:jc w:val="center"/>
                            <w:rPr>
                              <w:sz w:val="18"/>
                              <w:szCs w:val="18"/>
                            </w:rPr>
                          </w:pPr>
                          <w:r>
                            <w:rPr>
                              <w:rFonts w:hint="eastAsia"/>
                              <w:sz w:val="18"/>
                              <w:szCs w:val="18"/>
                            </w:rPr>
                            <w:t>程</w:t>
                          </w:r>
                        </w:p>
                        <w:p>
                          <w:pPr>
                            <w:spacing w:line="0" w:lineRule="atLeast"/>
                            <w:jc w:val="center"/>
                            <w:rPr>
                              <w:sz w:val="18"/>
                              <w:szCs w:val="18"/>
                            </w:rPr>
                          </w:pPr>
                          <w:r>
                            <w:rPr>
                              <w:rFonts w:hint="eastAsia"/>
                              <w:sz w:val="18"/>
                              <w:szCs w:val="18"/>
                            </w:rPr>
                            <w:t>体</w:t>
                          </w:r>
                        </w:p>
                        <w:p>
                          <w:pPr>
                            <w:spacing w:line="0" w:lineRule="atLeast"/>
                            <w:jc w:val="center"/>
                            <w:rPr>
                              <w:sz w:val="18"/>
                              <w:szCs w:val="18"/>
                            </w:rPr>
                          </w:pPr>
                          <w:r>
                            <w:rPr>
                              <w:rFonts w:hint="eastAsia"/>
                              <w:sz w:val="18"/>
                              <w:szCs w:val="18"/>
                            </w:rPr>
                            <w:t>系</w:t>
                          </w:r>
                        </w:p>
                      </w:txbxContent>
                    </v:textbox>
                  </v:shape>
                  <v:shape id="_x0000_s1026" o:spid="_x0000_s1026" o:spt="176" type="#_x0000_t176" style="position:absolute;left:10859;top:1106741;height:468;width:1259;" fillcolor="#FFFFFF" filled="t" stroked="t" coordsize="21600,21600" o:gfxdata="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3xF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职业技能模块</w:t>
                          </w:r>
                        </w:p>
                      </w:txbxContent>
                    </v:textbox>
                  </v:shape>
                  <v:line id="_x0000_s1026" o:spid="_x0000_s1026" o:spt="20" style="position:absolute;left:8234;top:1106015;flip:x;height:907;width:1;" filled="f" stroked="t" coordsize="21600,21600" o:gfxdata="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fTm8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8234;top:1106015;height:0;width:283;" filled="f" stroked="t" coordsize="21600,21600" o:gfxdata="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q/o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248;top:1106929;height:0;width:2608;"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778;top:1107970;height:0;width:765;"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0243;top:1105261;flip:x;height:780;width:1;" filled="f" stroked="t" coordsize="21600,21600" o:gfxdata="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bRE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824;top:1106046;flip:y;height:1;width:420;" filled="f" stroked="t" coordsize="21600,21600" o:gfxdata="UEsDBAoAAAAAAIdO4kAAAAAAAAAAAAAAAAAEAAAAZHJzL1BLAwQUAAAACACHTuJAh+WTSb4AAADc&#10;AAAADwAAAGRycy9kb3ducmV2LnhtbEWPQWvCQBSE70L/w/IKvdXdRJE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TS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w:pict>
          </mc:Fallback>
        </mc:AlternateContent>
      </w: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ab/>
      </w: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color w:val="000000" w:themeColor="text1"/>
          <w:sz w:val="32"/>
          <w:szCs w:val="32"/>
          <w14:textFill>
            <w14:solidFill>
              <w14:schemeClr w14:val="tx1"/>
            </w14:solidFill>
          </w14:textFill>
        </w:rPr>
      </w:pPr>
    </w:p>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（二）实践教学系统说明及结构图</w:t>
      </w:r>
    </w:p>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践教学分课内实践和课外实践，校内实践和校外工作岗位实践。实践课的安排主要是从学生必备的技能与素质出发，能在课内安排的尽量安排在课内实施，不能安排的就单独组织实践课程实施；另外，课内、校内实践虽然灵活方便，但往往和实践有点脱节，为了更好地与专业岗位对接，增加了校外实践教学的课时。</w:t>
      </w:r>
    </w:p>
    <w:p>
      <w:pPr>
        <w:spacing w:line="440" w:lineRule="exact"/>
        <w:rPr>
          <w:rFonts w:ascii="仿宋_GB2312" w:eastAsia="仿宋_GB2312"/>
          <w:b/>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495300</wp:posOffset>
                </wp:positionH>
                <wp:positionV relativeFrom="paragraph">
                  <wp:posOffset>102870</wp:posOffset>
                </wp:positionV>
                <wp:extent cx="4812665" cy="3263265"/>
                <wp:effectExtent l="4445" t="4445" r="21590" b="8890"/>
                <wp:wrapNone/>
                <wp:docPr id="318" name="组合 318"/>
                <wp:cNvGraphicFramePr/>
                <a:graphic xmlns:a="http://schemas.openxmlformats.org/drawingml/2006/main">
                  <a:graphicData uri="http://schemas.microsoft.com/office/word/2010/wordprocessingGroup">
                    <wpg:wgp>
                      <wpg:cNvGrpSpPr/>
                      <wpg:grpSpPr>
                        <a:xfrm>
                          <a:off x="0" y="0"/>
                          <a:ext cx="4812665" cy="3263265"/>
                          <a:chOff x="6130" y="1115126"/>
                          <a:chExt cx="7579" cy="5139"/>
                        </a:xfrm>
                      </wpg:grpSpPr>
                      <wps:wsp>
                        <wps:cNvPr id="160" name="流程图: 可选过程 160"/>
                        <wps:cNvSpPr>
                          <a:spLocks noChangeArrowheads="1"/>
                        </wps:cNvSpPr>
                        <wps:spPr bwMode="auto">
                          <a:xfrm>
                            <a:off x="6130" y="1118126"/>
                            <a:ext cx="525" cy="124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营</w:t>
                              </w:r>
                            </w:p>
                            <w:p>
                              <w:pPr>
                                <w:spacing w:line="0" w:lineRule="atLeast"/>
                                <w:jc w:val="center"/>
                                <w:rPr>
                                  <w:sz w:val="18"/>
                                  <w:szCs w:val="18"/>
                                </w:rPr>
                              </w:pPr>
                              <w:r>
                                <w:rPr>
                                  <w:rFonts w:hint="eastAsia"/>
                                  <w:sz w:val="18"/>
                                  <w:szCs w:val="18"/>
                                </w:rPr>
                                <w:t>销</w:t>
                              </w:r>
                            </w:p>
                            <w:p>
                              <w:pPr>
                                <w:spacing w:line="0" w:lineRule="atLeast"/>
                                <w:jc w:val="center"/>
                                <w:rPr>
                                  <w:sz w:val="18"/>
                                  <w:szCs w:val="18"/>
                                </w:rPr>
                              </w:pPr>
                              <w:r>
                                <w:rPr>
                                  <w:rFonts w:hint="eastAsia"/>
                                  <w:sz w:val="18"/>
                                  <w:szCs w:val="18"/>
                                </w:rPr>
                                <w:t>实</w:t>
                              </w:r>
                            </w:p>
                            <w:p>
                              <w:pPr>
                                <w:spacing w:line="0" w:lineRule="atLeast"/>
                                <w:jc w:val="center"/>
                                <w:rPr>
                                  <w:sz w:val="18"/>
                                  <w:szCs w:val="18"/>
                                </w:rPr>
                              </w:pPr>
                              <w:r>
                                <w:rPr>
                                  <w:rFonts w:hint="eastAsia"/>
                                  <w:sz w:val="18"/>
                                  <w:szCs w:val="18"/>
                                </w:rPr>
                                <w:t>训</w:t>
                              </w:r>
                            </w:p>
                          </w:txbxContent>
                        </wps:txbx>
                        <wps:bodyPr rot="0" vert="horz" wrap="square" lIns="0" tIns="0" rIns="0" bIns="0" anchor="t" anchorCtr="0" upright="1">
                          <a:noAutofit/>
                        </wps:bodyPr>
                      </wps:wsp>
                      <wps:wsp>
                        <wps:cNvPr id="125" name="流程图: 可选过程 125"/>
                        <wps:cNvSpPr>
                          <a:spLocks noChangeArrowheads="1"/>
                        </wps:cNvSpPr>
                        <wps:spPr bwMode="auto">
                          <a:xfrm>
                            <a:off x="7600" y="1116439"/>
                            <a:ext cx="1587"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教学实习</w:t>
                              </w:r>
                            </w:p>
                          </w:txbxContent>
                        </wps:txbx>
                        <wps:bodyPr rot="0" vert="horz" wrap="square" lIns="0" tIns="36000" rIns="0" bIns="0" anchor="t" anchorCtr="0" upright="1">
                          <a:noAutofit/>
                        </wps:bodyPr>
                      </wps:wsp>
                      <wps:wsp>
                        <wps:cNvPr id="156" name="流程图: 可选过程 156"/>
                        <wps:cNvSpPr>
                          <a:spLocks noChangeArrowheads="1"/>
                        </wps:cNvSpPr>
                        <wps:spPr bwMode="auto">
                          <a:xfrm>
                            <a:off x="7600" y="1119797"/>
                            <a:ext cx="1587"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顶岗实习</w:t>
                              </w:r>
                            </w:p>
                          </w:txbxContent>
                        </wps:txbx>
                        <wps:bodyPr rot="0" vert="horz" wrap="square" lIns="0" tIns="36000" rIns="0" bIns="0" anchor="t" anchorCtr="0" upright="1">
                          <a:noAutofit/>
                        </wps:bodyPr>
                      </wps:wsp>
                      <wps:wsp>
                        <wps:cNvPr id="168" name="流程图: 可选过程 168"/>
                        <wps:cNvSpPr>
                          <a:spLocks noChangeArrowheads="1"/>
                        </wps:cNvSpPr>
                        <wps:spPr bwMode="auto">
                          <a:xfrm>
                            <a:off x="7600" y="1118516"/>
                            <a:ext cx="1587"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营销技能综合实训</w:t>
                              </w:r>
                            </w:p>
                          </w:txbxContent>
                        </wps:txbx>
                        <wps:bodyPr rot="0" vert="horz" wrap="square" lIns="0" tIns="36000" rIns="0" bIns="0" anchor="t" anchorCtr="0" upright="1">
                          <a:noAutofit/>
                        </wps:bodyPr>
                      </wps:wsp>
                      <wps:wsp>
                        <wps:cNvPr id="171" name="流程图: 可选过程 171"/>
                        <wps:cNvSpPr>
                          <a:spLocks noChangeArrowheads="1"/>
                        </wps:cNvSpPr>
                        <wps:spPr bwMode="auto">
                          <a:xfrm>
                            <a:off x="7600" y="1119162"/>
                            <a:ext cx="1587"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课程实习</w:t>
                              </w:r>
                            </w:p>
                          </w:txbxContent>
                        </wps:txbx>
                        <wps:bodyPr rot="0" vert="horz" wrap="square" lIns="0" tIns="36000" rIns="0" bIns="0" anchor="t" anchorCtr="0" upright="1">
                          <a:noAutofit/>
                        </wps:bodyPr>
                      </wps:wsp>
                      <wps:wsp>
                        <wps:cNvPr id="130" name="直接连接符 130"/>
                        <wps:cNvCnPr>
                          <a:cxnSpLocks noChangeShapeType="1"/>
                        </wps:cNvCnPr>
                        <wps:spPr bwMode="auto">
                          <a:xfrm>
                            <a:off x="7076" y="1116725"/>
                            <a:ext cx="1" cy="3307"/>
                          </a:xfrm>
                          <a:prstGeom prst="line">
                            <a:avLst/>
                          </a:prstGeom>
                          <a:noFill/>
                          <a:ln w="9525">
                            <a:solidFill>
                              <a:srgbClr val="000000"/>
                            </a:solidFill>
                            <a:round/>
                          </a:ln>
                          <a:effectLst/>
                        </wps:spPr>
                        <wps:bodyPr/>
                      </wps:wsp>
                      <wps:wsp>
                        <wps:cNvPr id="152" name="直接连接符 152"/>
                        <wps:cNvCnPr>
                          <a:cxnSpLocks noChangeShapeType="1"/>
                        </wps:cNvCnPr>
                        <wps:spPr bwMode="auto">
                          <a:xfrm>
                            <a:off x="7069" y="1116718"/>
                            <a:ext cx="510" cy="0"/>
                          </a:xfrm>
                          <a:prstGeom prst="line">
                            <a:avLst/>
                          </a:prstGeom>
                          <a:noFill/>
                          <a:ln w="9525">
                            <a:solidFill>
                              <a:srgbClr val="000000"/>
                            </a:solidFill>
                            <a:round/>
                          </a:ln>
                          <a:effectLst/>
                        </wps:spPr>
                        <wps:bodyPr/>
                      </wps:wsp>
                      <wps:wsp>
                        <wps:cNvPr id="164" name="直接连接符 164"/>
                        <wps:cNvCnPr>
                          <a:cxnSpLocks noChangeShapeType="1"/>
                        </wps:cNvCnPr>
                        <wps:spPr bwMode="auto">
                          <a:xfrm>
                            <a:off x="6655" y="1118747"/>
                            <a:ext cx="945" cy="7"/>
                          </a:xfrm>
                          <a:prstGeom prst="line">
                            <a:avLst/>
                          </a:prstGeom>
                          <a:noFill/>
                          <a:ln w="9525">
                            <a:solidFill>
                              <a:srgbClr val="000000"/>
                            </a:solidFill>
                            <a:round/>
                          </a:ln>
                          <a:effectLst/>
                        </wps:spPr>
                        <wps:bodyPr/>
                      </wps:wsp>
                      <wps:wsp>
                        <wps:cNvPr id="167" name="直接连接符 167"/>
                        <wps:cNvCnPr>
                          <a:cxnSpLocks noChangeShapeType="1"/>
                        </wps:cNvCnPr>
                        <wps:spPr bwMode="auto">
                          <a:xfrm>
                            <a:off x="7087" y="1120019"/>
                            <a:ext cx="510" cy="7"/>
                          </a:xfrm>
                          <a:prstGeom prst="line">
                            <a:avLst/>
                          </a:prstGeom>
                          <a:noFill/>
                          <a:ln w="9525">
                            <a:solidFill>
                              <a:srgbClr val="000000"/>
                            </a:solidFill>
                            <a:round/>
                          </a:ln>
                          <a:effectLst/>
                        </wps:spPr>
                        <wps:bodyPr/>
                      </wps:wsp>
                      <wps:wsp>
                        <wps:cNvPr id="120" name="流程图: 可选过程 120"/>
                        <wps:cNvSpPr>
                          <a:spLocks noChangeArrowheads="1"/>
                        </wps:cNvSpPr>
                        <wps:spPr bwMode="auto">
                          <a:xfrm>
                            <a:off x="9956" y="1115763"/>
                            <a:ext cx="1260"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案例教学</w:t>
                              </w:r>
                            </w:p>
                          </w:txbxContent>
                        </wps:txbx>
                        <wps:bodyPr rot="0" vert="horz" wrap="square" lIns="0" tIns="36000" rIns="0" bIns="0" anchor="t" anchorCtr="0" upright="1">
                          <a:noAutofit/>
                        </wps:bodyPr>
                      </wps:wsp>
                      <wps:wsp>
                        <wps:cNvPr id="124" name="流程图: 可选过程 124"/>
                        <wps:cNvSpPr>
                          <a:spLocks noChangeArrowheads="1"/>
                        </wps:cNvSpPr>
                        <wps:spPr bwMode="auto">
                          <a:xfrm>
                            <a:off x="9956" y="1116435"/>
                            <a:ext cx="1260"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校内岗位仿真</w:t>
                              </w:r>
                            </w:p>
                          </w:txbxContent>
                        </wps:txbx>
                        <wps:bodyPr rot="0" vert="horz" wrap="square" lIns="0" tIns="36000" rIns="0" bIns="0" anchor="t" anchorCtr="0" upright="1">
                          <a:noAutofit/>
                        </wps:bodyPr>
                      </wps:wsp>
                      <wps:wsp>
                        <wps:cNvPr id="155" name="流程图: 可选过程 155"/>
                        <wps:cNvSpPr>
                          <a:spLocks noChangeArrowheads="1"/>
                        </wps:cNvSpPr>
                        <wps:spPr bwMode="auto">
                          <a:xfrm>
                            <a:off x="9956" y="1117807"/>
                            <a:ext cx="1260"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校内基地</w:t>
                              </w:r>
                            </w:p>
                          </w:txbxContent>
                        </wps:txbx>
                        <wps:bodyPr rot="0" vert="horz" wrap="square" lIns="0" tIns="36000" rIns="0" bIns="0" anchor="t" anchorCtr="0" upright="1">
                          <a:noAutofit/>
                        </wps:bodyPr>
                      </wps:wsp>
                      <wps:wsp>
                        <wps:cNvPr id="172" name="流程图: 可选过程 172"/>
                        <wps:cNvSpPr>
                          <a:spLocks noChangeArrowheads="1"/>
                        </wps:cNvSpPr>
                        <wps:spPr bwMode="auto">
                          <a:xfrm>
                            <a:off x="9956" y="1117127"/>
                            <a:ext cx="1260"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校外基地</w:t>
                              </w:r>
                            </w:p>
                          </w:txbxContent>
                        </wps:txbx>
                        <wps:bodyPr rot="0" vert="horz" wrap="square" lIns="0" tIns="36000" rIns="0" bIns="0" anchor="t" anchorCtr="0" upright="1">
                          <a:noAutofit/>
                        </wps:bodyPr>
                      </wps:wsp>
                      <wps:wsp>
                        <wps:cNvPr id="131" name="直接连接符 131"/>
                        <wps:cNvCnPr/>
                        <wps:spPr>
                          <a:xfrm>
                            <a:off x="9491" y="1115912"/>
                            <a:ext cx="1" cy="2136"/>
                          </a:xfrm>
                          <a:prstGeom prst="line">
                            <a:avLst/>
                          </a:prstGeom>
                          <a:ln w="9525" cap="flat" cmpd="sng">
                            <a:solidFill>
                              <a:srgbClr val="000000"/>
                            </a:solidFill>
                            <a:prstDash val="solid"/>
                            <a:headEnd type="none" w="med" len="med"/>
                            <a:tailEnd type="none" w="med" len="med"/>
                          </a:ln>
                        </wps:spPr>
                        <wps:bodyPr/>
                      </wps:wsp>
                      <wps:wsp>
                        <wps:cNvPr id="150" name="直接连接符 150"/>
                        <wps:cNvCnPr>
                          <a:cxnSpLocks noChangeShapeType="1"/>
                        </wps:cNvCnPr>
                        <wps:spPr bwMode="auto">
                          <a:xfrm>
                            <a:off x="9490" y="1115919"/>
                            <a:ext cx="420" cy="0"/>
                          </a:xfrm>
                          <a:prstGeom prst="line">
                            <a:avLst/>
                          </a:prstGeom>
                          <a:noFill/>
                          <a:ln w="9525">
                            <a:solidFill>
                              <a:srgbClr val="000000"/>
                            </a:solidFill>
                            <a:round/>
                          </a:ln>
                          <a:effectLst/>
                        </wps:spPr>
                        <wps:bodyPr/>
                      </wps:wsp>
                      <wps:wsp>
                        <wps:cNvPr id="129" name="直接连接符 129"/>
                        <wps:cNvCnPr>
                          <a:cxnSpLocks noChangeShapeType="1"/>
                          <a:stCxn id="125" idx="3"/>
                          <a:endCxn id="124" idx="1"/>
                        </wps:cNvCnPr>
                        <wps:spPr bwMode="auto">
                          <a:xfrm flipV="1">
                            <a:off x="9187" y="1116669"/>
                            <a:ext cx="769" cy="4"/>
                          </a:xfrm>
                          <a:prstGeom prst="line">
                            <a:avLst/>
                          </a:prstGeom>
                          <a:noFill/>
                          <a:ln w="9525">
                            <a:solidFill>
                              <a:srgbClr val="000000"/>
                            </a:solidFill>
                            <a:round/>
                          </a:ln>
                          <a:effectLst/>
                        </wps:spPr>
                        <wps:bodyPr/>
                      </wps:wsp>
                      <wps:wsp>
                        <wps:cNvPr id="158" name="直接连接符 158"/>
                        <wps:cNvCnPr>
                          <a:cxnSpLocks noChangeShapeType="1"/>
                        </wps:cNvCnPr>
                        <wps:spPr bwMode="auto">
                          <a:xfrm>
                            <a:off x="9490" y="1117322"/>
                            <a:ext cx="420" cy="0"/>
                          </a:xfrm>
                          <a:prstGeom prst="line">
                            <a:avLst/>
                          </a:prstGeom>
                          <a:noFill/>
                          <a:ln w="9525">
                            <a:solidFill>
                              <a:srgbClr val="000000"/>
                            </a:solidFill>
                            <a:round/>
                          </a:ln>
                          <a:effectLst/>
                        </wps:spPr>
                        <wps:bodyPr/>
                      </wps:wsp>
                      <wps:wsp>
                        <wps:cNvPr id="157" name="直接连接符 157"/>
                        <wps:cNvCnPr>
                          <a:cxnSpLocks noChangeShapeType="1"/>
                        </wps:cNvCnPr>
                        <wps:spPr bwMode="auto">
                          <a:xfrm>
                            <a:off x="9490" y="1118048"/>
                            <a:ext cx="420" cy="0"/>
                          </a:xfrm>
                          <a:prstGeom prst="line">
                            <a:avLst/>
                          </a:prstGeom>
                          <a:noFill/>
                          <a:ln w="9525">
                            <a:solidFill>
                              <a:srgbClr val="000000"/>
                            </a:solidFill>
                            <a:round/>
                          </a:ln>
                          <a:effectLst/>
                        </wps:spPr>
                        <wps:bodyPr/>
                      </wps:wsp>
                      <wps:wsp>
                        <wps:cNvPr id="143" name="直接连接符 143"/>
                        <wps:cNvCnPr>
                          <a:cxnSpLocks noChangeShapeType="1"/>
                        </wps:cNvCnPr>
                        <wps:spPr bwMode="auto">
                          <a:xfrm flipH="1">
                            <a:off x="11665" y="1115315"/>
                            <a:ext cx="1" cy="2028"/>
                          </a:xfrm>
                          <a:prstGeom prst="line">
                            <a:avLst/>
                          </a:prstGeom>
                          <a:noFill/>
                          <a:ln w="9525">
                            <a:solidFill>
                              <a:srgbClr val="000000"/>
                            </a:solidFill>
                            <a:round/>
                          </a:ln>
                          <a:effectLst/>
                        </wps:spPr>
                        <wps:bodyPr/>
                      </wps:wsp>
                      <wps:wsp>
                        <wps:cNvPr id="142" name="直接连接符 142"/>
                        <wps:cNvCnPr>
                          <a:cxnSpLocks noChangeShapeType="1"/>
                        </wps:cNvCnPr>
                        <wps:spPr bwMode="auto">
                          <a:xfrm>
                            <a:off x="11666" y="1115315"/>
                            <a:ext cx="525" cy="0"/>
                          </a:xfrm>
                          <a:prstGeom prst="line">
                            <a:avLst/>
                          </a:prstGeom>
                          <a:noFill/>
                          <a:ln w="9525">
                            <a:solidFill>
                              <a:srgbClr val="000000"/>
                            </a:solidFill>
                            <a:round/>
                          </a:ln>
                          <a:effectLst/>
                        </wps:spPr>
                        <wps:bodyPr/>
                      </wps:wsp>
                      <wps:wsp>
                        <wps:cNvPr id="146" name="直接连接符 146"/>
                        <wps:cNvCnPr>
                          <a:cxnSpLocks noChangeShapeType="1"/>
                        </wps:cNvCnPr>
                        <wps:spPr bwMode="auto">
                          <a:xfrm>
                            <a:off x="11665" y="1115978"/>
                            <a:ext cx="525" cy="0"/>
                          </a:xfrm>
                          <a:prstGeom prst="line">
                            <a:avLst/>
                          </a:prstGeom>
                          <a:noFill/>
                          <a:ln w="9525">
                            <a:solidFill>
                              <a:srgbClr val="000000"/>
                            </a:solidFill>
                            <a:round/>
                          </a:ln>
                          <a:effectLst/>
                        </wps:spPr>
                        <wps:bodyPr/>
                      </wps:wsp>
                      <wps:wsp>
                        <wps:cNvPr id="154" name="直接连接符 154"/>
                        <wps:cNvCnPr>
                          <a:cxnSpLocks noChangeShapeType="1"/>
                        </wps:cNvCnPr>
                        <wps:spPr bwMode="auto">
                          <a:xfrm>
                            <a:off x="11666" y="1117343"/>
                            <a:ext cx="525" cy="0"/>
                          </a:xfrm>
                          <a:prstGeom prst="line">
                            <a:avLst/>
                          </a:prstGeom>
                          <a:noFill/>
                          <a:ln w="9525">
                            <a:solidFill>
                              <a:srgbClr val="000000"/>
                            </a:solidFill>
                            <a:round/>
                          </a:ln>
                          <a:effectLst/>
                        </wps:spPr>
                        <wps:bodyPr/>
                      </wps:wsp>
                      <wps:wsp>
                        <wps:cNvPr id="128" name="直接连接符 128"/>
                        <wps:cNvCnPr>
                          <a:cxnSpLocks noChangeShapeType="1"/>
                          <a:stCxn id="124" idx="3"/>
                        </wps:cNvCnPr>
                        <wps:spPr bwMode="auto">
                          <a:xfrm>
                            <a:off x="11216" y="1116669"/>
                            <a:ext cx="1004" cy="1"/>
                          </a:xfrm>
                          <a:prstGeom prst="line">
                            <a:avLst/>
                          </a:prstGeom>
                          <a:noFill/>
                          <a:ln w="9525">
                            <a:solidFill>
                              <a:srgbClr val="000000"/>
                            </a:solidFill>
                            <a:round/>
                          </a:ln>
                          <a:effectLst/>
                        </wps:spPr>
                        <wps:bodyPr/>
                      </wps:wsp>
                      <wps:wsp>
                        <wps:cNvPr id="153" name="直接连接符 153"/>
                        <wps:cNvCnPr>
                          <a:cxnSpLocks noChangeShapeType="1"/>
                        </wps:cNvCnPr>
                        <wps:spPr bwMode="auto">
                          <a:xfrm flipV="1">
                            <a:off x="11209" y="1117988"/>
                            <a:ext cx="540" cy="7"/>
                          </a:xfrm>
                          <a:prstGeom prst="line">
                            <a:avLst/>
                          </a:prstGeom>
                          <a:noFill/>
                          <a:ln w="9525">
                            <a:solidFill>
                              <a:srgbClr val="000000"/>
                            </a:solidFill>
                            <a:round/>
                          </a:ln>
                          <a:effectLst/>
                        </wps:spPr>
                        <wps:bodyPr/>
                      </wps:wsp>
                      <wps:wsp>
                        <wps:cNvPr id="159" name="流程图: 可选过程 159"/>
                        <wps:cNvSpPr>
                          <a:spLocks noChangeArrowheads="1"/>
                        </wps:cNvSpPr>
                        <wps:spPr bwMode="auto">
                          <a:xfrm>
                            <a:off x="11766" y="1117807"/>
                            <a:ext cx="1830"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校内创业孵化基地</w:t>
                              </w:r>
                            </w:p>
                          </w:txbxContent>
                        </wps:txbx>
                        <wps:bodyPr rot="0" vert="horz" wrap="square" lIns="0" tIns="36000" rIns="0" bIns="0" anchor="t" anchorCtr="0" upright="1">
                          <a:noAutofit/>
                        </wps:bodyPr>
                      </wps:wsp>
                      <wps:wsp>
                        <wps:cNvPr id="174" name="流程图: 可选过程 174"/>
                        <wps:cNvSpPr>
                          <a:spLocks noChangeArrowheads="1"/>
                        </wps:cNvSpPr>
                        <wps:spPr bwMode="auto">
                          <a:xfrm>
                            <a:off x="9760" y="1119162"/>
                            <a:ext cx="2154"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校外基地</w:t>
                              </w:r>
                            </w:p>
                          </w:txbxContent>
                        </wps:txbx>
                        <wps:bodyPr rot="0" vert="horz" wrap="square" lIns="0" tIns="36000" rIns="0" bIns="0" anchor="t" anchorCtr="0" upright="1">
                          <a:noAutofit/>
                        </wps:bodyPr>
                      </wps:wsp>
                      <wps:wsp>
                        <wps:cNvPr id="166" name="流程图: 可选过程 166"/>
                        <wps:cNvSpPr>
                          <a:spLocks noChangeArrowheads="1"/>
                        </wps:cNvSpPr>
                        <wps:spPr bwMode="auto">
                          <a:xfrm>
                            <a:off x="9760" y="1119797"/>
                            <a:ext cx="2154"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校外基地</w:t>
                              </w:r>
                            </w:p>
                          </w:txbxContent>
                        </wps:txbx>
                        <wps:bodyPr rot="0" vert="horz" wrap="square" lIns="0" tIns="36000" rIns="0" bIns="0" anchor="t" anchorCtr="0" upright="1">
                          <a:noAutofit/>
                        </wps:bodyPr>
                      </wps:wsp>
                      <wps:wsp>
                        <wps:cNvPr id="162" name="流程图: 可选过程 162"/>
                        <wps:cNvSpPr>
                          <a:spLocks noChangeArrowheads="1"/>
                        </wps:cNvSpPr>
                        <wps:spPr bwMode="auto">
                          <a:xfrm>
                            <a:off x="9760" y="1118516"/>
                            <a:ext cx="2154"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营销技能校内拓展基地</w:t>
                              </w:r>
                            </w:p>
                          </w:txbxContent>
                        </wps:txbx>
                        <wps:bodyPr rot="0" vert="horz" wrap="square" lIns="0" tIns="36000" rIns="0" bIns="0" anchor="t" anchorCtr="0" upright="1">
                          <a:noAutofit/>
                        </wps:bodyPr>
                      </wps:wsp>
                      <wps:wsp>
                        <wps:cNvPr id="161" name="直接连接符 161"/>
                        <wps:cNvCnPr>
                          <a:cxnSpLocks noChangeShapeType="1"/>
                        </wps:cNvCnPr>
                        <wps:spPr bwMode="auto">
                          <a:xfrm flipV="1">
                            <a:off x="9214" y="1118747"/>
                            <a:ext cx="516" cy="7"/>
                          </a:xfrm>
                          <a:prstGeom prst="line">
                            <a:avLst/>
                          </a:prstGeom>
                          <a:noFill/>
                          <a:ln w="9525">
                            <a:solidFill>
                              <a:srgbClr val="000000"/>
                            </a:solidFill>
                            <a:round/>
                          </a:ln>
                          <a:effectLst/>
                        </wps:spPr>
                        <wps:bodyPr/>
                      </wps:wsp>
                      <wps:wsp>
                        <wps:cNvPr id="127" name="流程图: 可选过程 127"/>
                        <wps:cNvSpPr>
                          <a:spLocks noChangeArrowheads="1"/>
                        </wps:cNvSpPr>
                        <wps:spPr bwMode="auto">
                          <a:xfrm>
                            <a:off x="12235" y="1115126"/>
                            <a:ext cx="1474"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营销沙盘实训室</w:t>
                              </w:r>
                            </w:p>
                          </w:txbxContent>
                        </wps:txbx>
                        <wps:bodyPr rot="0" vert="horz" wrap="square" lIns="0" tIns="36000" rIns="0" bIns="0" anchor="t" anchorCtr="0" upright="1">
                          <a:noAutofit/>
                        </wps:bodyPr>
                      </wps:wsp>
                      <wps:wsp>
                        <wps:cNvPr id="145" name="流程图: 可选过程 145"/>
                        <wps:cNvSpPr>
                          <a:spLocks noChangeArrowheads="1"/>
                        </wps:cNvSpPr>
                        <wps:spPr bwMode="auto">
                          <a:xfrm>
                            <a:off x="12235" y="1115763"/>
                            <a:ext cx="1474"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商务谈判实训室</w:t>
                              </w:r>
                            </w:p>
                          </w:txbxContent>
                        </wps:txbx>
                        <wps:bodyPr rot="0" vert="horz" wrap="square" lIns="0" tIns="36000" rIns="0" bIns="0" anchor="t" anchorCtr="0" upright="1">
                          <a:noAutofit/>
                        </wps:bodyPr>
                      </wps:wsp>
                      <wps:wsp>
                        <wps:cNvPr id="144" name="流程图: 可选过程 144"/>
                        <wps:cNvSpPr>
                          <a:spLocks noChangeArrowheads="1"/>
                        </wps:cNvSpPr>
                        <wps:spPr bwMode="auto">
                          <a:xfrm>
                            <a:off x="12235" y="1116435"/>
                            <a:ext cx="1474"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电子商务实训室</w:t>
                              </w:r>
                            </w:p>
                          </w:txbxContent>
                        </wps:txbx>
                        <wps:bodyPr rot="0" vert="horz" wrap="square" lIns="0" tIns="36000" rIns="0" bIns="0" anchor="t" anchorCtr="0" upright="1">
                          <a:noAutofit/>
                        </wps:bodyPr>
                      </wps:wsp>
                      <wps:wsp>
                        <wps:cNvPr id="173" name="流程图: 可选过程 173"/>
                        <wps:cNvSpPr>
                          <a:spLocks noChangeArrowheads="1"/>
                        </wps:cNvSpPr>
                        <wps:spPr bwMode="auto">
                          <a:xfrm>
                            <a:off x="12235" y="1117127"/>
                            <a:ext cx="1474" cy="468"/>
                          </a:xfrm>
                          <a:prstGeom prst="flowChartAlternateProcess">
                            <a:avLst/>
                          </a:prstGeom>
                          <a:solidFill>
                            <a:srgbClr val="FFFFFF"/>
                          </a:solidFill>
                          <a:ln w="9525">
                            <a:solidFill>
                              <a:srgbClr val="000000"/>
                            </a:solidFill>
                            <a:miter lim="800000"/>
                          </a:ln>
                          <a:effectLst/>
                        </wps:spPr>
                        <wps:txbx>
                          <w:txbxContent>
                            <w:p>
                              <w:pPr>
                                <w:spacing w:line="0" w:lineRule="atLeast"/>
                                <w:jc w:val="center"/>
                                <w:rPr>
                                  <w:sz w:val="18"/>
                                  <w:szCs w:val="18"/>
                                </w:rPr>
                              </w:pPr>
                              <w:r>
                                <w:rPr>
                                  <w:rFonts w:hint="eastAsia"/>
                                  <w:sz w:val="18"/>
                                  <w:szCs w:val="18"/>
                                </w:rPr>
                                <w:t>营销大师工作室</w:t>
                              </w:r>
                            </w:p>
                          </w:txbxContent>
                        </wps:txbx>
                        <wps:bodyPr rot="0" vert="horz" wrap="square" lIns="0" tIns="36000" rIns="0" bIns="0" anchor="t" anchorCtr="0" upright="1">
                          <a:noAutofit/>
                        </wps:bodyPr>
                      </wps:wsp>
                      <wps:wsp>
                        <wps:cNvPr id="170" name="直接连接符 170"/>
                        <wps:cNvCnPr>
                          <a:cxnSpLocks noChangeShapeType="1"/>
                        </wps:cNvCnPr>
                        <wps:spPr bwMode="auto">
                          <a:xfrm>
                            <a:off x="7081" y="1119369"/>
                            <a:ext cx="510" cy="7"/>
                          </a:xfrm>
                          <a:prstGeom prst="line">
                            <a:avLst/>
                          </a:prstGeom>
                          <a:noFill/>
                          <a:ln w="9525">
                            <a:solidFill>
                              <a:srgbClr val="000000"/>
                            </a:solidFill>
                            <a:round/>
                          </a:ln>
                          <a:effectLst/>
                        </wps:spPr>
                        <wps:bodyPr/>
                      </wps:wsp>
                      <wps:wsp>
                        <wps:cNvPr id="316" name="直接连接符 316"/>
                        <wps:cNvCnPr>
                          <a:cxnSpLocks noChangeShapeType="1"/>
                        </wps:cNvCnPr>
                        <wps:spPr bwMode="auto">
                          <a:xfrm flipV="1">
                            <a:off x="9214" y="1119366"/>
                            <a:ext cx="516" cy="7"/>
                          </a:xfrm>
                          <a:prstGeom prst="line">
                            <a:avLst/>
                          </a:prstGeom>
                          <a:noFill/>
                          <a:ln w="9525">
                            <a:solidFill>
                              <a:srgbClr val="000000"/>
                            </a:solidFill>
                            <a:round/>
                          </a:ln>
                          <a:effectLst/>
                        </wps:spPr>
                        <wps:bodyPr/>
                      </wps:wsp>
                      <wps:wsp>
                        <wps:cNvPr id="317" name="直接连接符 317"/>
                        <wps:cNvCnPr>
                          <a:cxnSpLocks noChangeShapeType="1"/>
                        </wps:cNvCnPr>
                        <wps:spPr bwMode="auto">
                          <a:xfrm flipV="1">
                            <a:off x="9214" y="1120003"/>
                            <a:ext cx="516" cy="7"/>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39pt;margin-top:8.1pt;height:256.95pt;width:378.95pt;z-index:251659264;mso-width-relative:page;mso-height-relative:page;" coordorigin="6130,1115126" coordsize="7579,5139" o:gfxdata="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">
                <o:lock v:ext="edit" aspectratio="f"/>
                <v:shape id="_x0000_s1026" o:spid="_x0000_s1026" o:spt="176" type="#_x0000_t176" style="position:absolute;left:6130;top:1118126;height:1248;width:525;" fillcolor="#FFFFFF" filled="t" stroked="t" coordsize="21600,21600" o:gfxdata="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fs4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0" w:lineRule="atLeast"/>
                          <w:jc w:val="center"/>
                          <w:rPr>
                            <w:sz w:val="18"/>
                            <w:szCs w:val="18"/>
                          </w:rPr>
                        </w:pPr>
                        <w:r>
                          <w:rPr>
                            <w:rFonts w:hint="eastAsia"/>
                            <w:sz w:val="18"/>
                            <w:szCs w:val="18"/>
                          </w:rPr>
                          <w:t>营</w:t>
                        </w:r>
                      </w:p>
                      <w:p>
                        <w:pPr>
                          <w:spacing w:line="0" w:lineRule="atLeast"/>
                          <w:jc w:val="center"/>
                          <w:rPr>
                            <w:sz w:val="18"/>
                            <w:szCs w:val="18"/>
                          </w:rPr>
                        </w:pPr>
                        <w:r>
                          <w:rPr>
                            <w:rFonts w:hint="eastAsia"/>
                            <w:sz w:val="18"/>
                            <w:szCs w:val="18"/>
                          </w:rPr>
                          <w:t>销</w:t>
                        </w:r>
                      </w:p>
                      <w:p>
                        <w:pPr>
                          <w:spacing w:line="0" w:lineRule="atLeast"/>
                          <w:jc w:val="center"/>
                          <w:rPr>
                            <w:sz w:val="18"/>
                            <w:szCs w:val="18"/>
                          </w:rPr>
                        </w:pPr>
                        <w:r>
                          <w:rPr>
                            <w:rFonts w:hint="eastAsia"/>
                            <w:sz w:val="18"/>
                            <w:szCs w:val="18"/>
                          </w:rPr>
                          <w:t>实</w:t>
                        </w:r>
                      </w:p>
                      <w:p>
                        <w:pPr>
                          <w:spacing w:line="0" w:lineRule="atLeast"/>
                          <w:jc w:val="center"/>
                          <w:rPr>
                            <w:sz w:val="18"/>
                            <w:szCs w:val="18"/>
                          </w:rPr>
                        </w:pPr>
                        <w:r>
                          <w:rPr>
                            <w:rFonts w:hint="eastAsia"/>
                            <w:sz w:val="18"/>
                            <w:szCs w:val="18"/>
                          </w:rPr>
                          <w:t>训</w:t>
                        </w:r>
                      </w:p>
                    </w:txbxContent>
                  </v:textbox>
                </v:shape>
                <v:shape id="_x0000_s1026" o:spid="_x0000_s1026" o:spt="176" type="#_x0000_t176" style="position:absolute;left:7600;top:1116439;height:468;width:1587;" fillcolor="#FFFFFF" filled="t" stroked="t" coordsize="21600,21600" o:gfxdata="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N/u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教学实习</w:t>
                        </w:r>
                      </w:p>
                    </w:txbxContent>
                  </v:textbox>
                </v:shape>
                <v:shape id="_x0000_s1026" o:spid="_x0000_s1026" o:spt="176" type="#_x0000_t176" style="position:absolute;left:7600;top:1119797;height:468;width:1587;" fillcolor="#FFFFFF" filled="t" stroked="t" coordsize="21600,21600" o:gfxdata="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ZE+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顶岗实习</w:t>
                        </w:r>
                      </w:p>
                    </w:txbxContent>
                  </v:textbox>
                </v:shape>
                <v:shape id="_x0000_s1026" o:spid="_x0000_s1026" o:spt="176" type="#_x0000_t176" style="position:absolute;left:7600;top:1118516;height:468;width:1587;" fillcolor="#FFFFFF" filled="t" stroked="t" coordsize="21600,21600" o:gfxdata="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bou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营销技能综合实训</w:t>
                        </w:r>
                      </w:p>
                    </w:txbxContent>
                  </v:textbox>
                </v:shape>
                <v:shape id="_x0000_s1026" o:spid="_x0000_s1026" o:spt="176" type="#_x0000_t176" style="position:absolute;left:7600;top:1119162;height:468;width:1587;" fillcolor="#FFFFFF" filled="t" stroked="t" coordsize="21600,21600" o:gfxdata="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8XX+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课程实习</w:t>
                        </w:r>
                      </w:p>
                    </w:txbxContent>
                  </v:textbox>
                </v:shape>
                <v:line id="_x0000_s1026" o:spid="_x0000_s1026" o:spt="20" style="position:absolute;left:7076;top:1116725;height:3307;width:1;"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069;top:1116718;height:0;width:510;"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655;top:1118747;height:7;width:945;"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087;top:1120019;height:7;width:510;" filled="f" stroked="t" coordsize="21600,21600" o:gfxdata="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T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76" type="#_x0000_t176" style="position:absolute;left:9956;top:1115763;height:468;width:1260;" fillcolor="#FFFFFF" filled="t" stroked="t" coordsize="21600,21600" o:gfxdata="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pd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案例教学</w:t>
                        </w:r>
                      </w:p>
                    </w:txbxContent>
                  </v:textbox>
                </v:shape>
                <v:shape id="_x0000_s1026" o:spid="_x0000_s1026" o:spt="176" type="#_x0000_t176" style="position:absolute;left:9956;top:1116435;height:468;width:1260;" fillcolor="#FFFFFF" filled="t" stroked="t" coordsize="21600,21600" o:gfxdata="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BW3+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校内岗位仿真</w:t>
                        </w:r>
                      </w:p>
                    </w:txbxContent>
                  </v:textbox>
                </v:shape>
                <v:shape id="_x0000_s1026" o:spid="_x0000_s1026" o:spt="176" type="#_x0000_t176" style="position:absolute;left:9956;top:1117807;height:468;width:1260;" fillcolor="#FFFFFF" filled="t" stroked="t" coordsize="21600,21600" o:gfxdata="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uNm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校内基地</w:t>
                        </w:r>
                      </w:p>
                    </w:txbxContent>
                  </v:textbox>
                </v:shape>
                <v:shape id="_x0000_s1026" o:spid="_x0000_s1026" o:spt="176" type="#_x0000_t176" style="position:absolute;left:9956;top:1117127;height:468;width:1260;" fillcolor="#FFFFFF" filled="t" stroked="t" coordsize="21600,21600" o:gfxdata="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XSY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校外基地</w:t>
                        </w:r>
                      </w:p>
                    </w:txbxContent>
                  </v:textbox>
                </v:shape>
                <v:line id="_x0000_s1026" o:spid="_x0000_s1026" o:spt="20" style="position:absolute;left:9491;top:1115912;height:2136;width:1;"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490;top:1115919;height:0;width:420;" filled="f" stroked="t" coordsize="21600,21600"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9187;top:1116669;flip:y;height:4;width:769;" filled="f" stroked="t" coordsize="21600,21600" o:gfxdata="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MmI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9490;top:1117322;height:0;width:420;" filled="f" stroked="t" coordsize="21600,21600" o:gfxdata="UEsDBAoAAAAAAIdO4kAAAAAAAAAAAAAAAAAEAAAAZHJzL1BLAwQUAAAACACHTuJACTi6PL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uj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9490;top:1118048;height:0;width:420;"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665;top:1115315;flip:x;height:2028;width:1;" filled="f" stroked="t" coordsize="21600,21600" o:gfxdata="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tK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1666;top:1115315;height:0;width:525;"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1665;top:1115978;height:0;width:525;"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1666;top:1117343;height:0;width:525;" filled="f" stroked="t" coordsize="21600,21600" o:gfxdata="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dbA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216;top:1116669;height:1;width:1004;"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209;top:1117988;flip:y;height:7;width:540;" filled="f" stroked="t" coordsize="21600,21600" o:gfxdata="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6LcH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76" type="#_x0000_t176" style="position:absolute;left:11766;top:1117807;height:468;width:1830;" fillcolor="#FFFFFF" filled="t" stroked="t" coordsize="21600,21600" o:gfxdata="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aHn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校内创业孵化基地</w:t>
                        </w:r>
                      </w:p>
                    </w:txbxContent>
                  </v:textbox>
                </v:shape>
                <v:shape id="_x0000_s1026" o:spid="_x0000_s1026" o:spt="176" type="#_x0000_t176" style="position:absolute;left:9760;top:1119162;height:468;width:2154;" fillcolor="#FFFFFF" filled="t" stroked="t" coordsize="21600,21600" o:gfxdata="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snR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校外基地</w:t>
                        </w:r>
                      </w:p>
                    </w:txbxContent>
                  </v:textbox>
                </v:shape>
                <v:shape id="_x0000_s1026" o:spid="_x0000_s1026" o:spt="176" type="#_x0000_t176" style="position:absolute;left:9760;top:1119797;height:468;width:2154;" fillcolor="#FFFFFF" filled="t" stroked="t" coordsize="21600,21600" o:gfxdata="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XZU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校外基地</w:t>
                        </w:r>
                      </w:p>
                    </w:txbxContent>
                  </v:textbox>
                </v:shape>
                <v:shape id="_x0000_s1026" o:spid="_x0000_s1026" o:spt="176" type="#_x0000_t176" style="position:absolute;left:9760;top:1118516;height:468;width:2154;" fillcolor="#FFFFFF" filled="t" stroked="t" coordsize="21600,21600" o:gfxdata="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O31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营销技能校内拓展基地</w:t>
                        </w:r>
                      </w:p>
                    </w:txbxContent>
                  </v:textbox>
                </v:shape>
                <v:line id="_x0000_s1026" o:spid="_x0000_s1026" o:spt="20" style="position:absolute;left:9214;top:1118747;flip:y;height:7;width:516;" filled="f" stroked="t" coordsize="21600,21600" o:gfxdata="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AtT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176" type="#_x0000_t176" style="position:absolute;left:12235;top:1115126;height:468;width:1474;" fillcolor="#FFFFFF" filled="t" stroked="t" coordsize="21600,21600" o:gfxdata="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TxQi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营销沙盘实训室</w:t>
                        </w:r>
                      </w:p>
                    </w:txbxContent>
                  </v:textbox>
                </v:shape>
                <v:shape id="_x0000_s1026" o:spid="_x0000_s1026" o:spt="176" type="#_x0000_t176" style="position:absolute;left:12235;top:1115763;height:468;width:1474;" fillcolor="#FFFFFF" filled="t" stroked="t" coordsize="21600,21600" o:gfxdata="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khtE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商务谈判实训室</w:t>
                        </w:r>
                      </w:p>
                    </w:txbxContent>
                  </v:textbox>
                </v:shape>
                <v:shape id="_x0000_s1026" o:spid="_x0000_s1026" o:spt="176" type="#_x0000_t176" style="position:absolute;left:12235;top:1116435;height:468;width:1474;" fillcolor="#FFFFFF" filled="t" stroked="t" coordsize="21600,21600" o:gfxdata="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6+3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电子商务实训室</w:t>
                        </w:r>
                      </w:p>
                    </w:txbxContent>
                  </v:textbox>
                </v:shape>
                <v:shape id="_x0000_s1026" o:spid="_x0000_s1026" o:spt="176" type="#_x0000_t176" style="position:absolute;left:12235;top:1117127;height:468;width:1474;" fillcolor="#FFFFFF" filled="t" stroked="t" coordsize="21600,21600" o:gfxdata="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w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1mm,0mm,0mm">
                    <w:txbxContent>
                      <w:p>
                        <w:pPr>
                          <w:spacing w:line="0" w:lineRule="atLeast"/>
                          <w:jc w:val="center"/>
                          <w:rPr>
                            <w:sz w:val="18"/>
                            <w:szCs w:val="18"/>
                          </w:rPr>
                        </w:pPr>
                        <w:r>
                          <w:rPr>
                            <w:rFonts w:hint="eastAsia"/>
                            <w:sz w:val="18"/>
                            <w:szCs w:val="18"/>
                          </w:rPr>
                          <w:t>营销大师工作室</w:t>
                        </w:r>
                      </w:p>
                    </w:txbxContent>
                  </v:textbox>
                </v:shape>
                <v:line id="_x0000_s1026" o:spid="_x0000_s1026" o:spt="20" style="position:absolute;left:7081;top:1119369;height:7;width:510;"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9214;top:1119366;flip:y;height:7;width:516;" filled="f" stroked="t" coordsize="21600,21600" o:gfxdata="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uop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9214;top:1120003;flip:y;height:7;width:516;" filled="f" stroked="t" coordsize="21600,21600" o:gfxdata="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cN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spacing w:line="440" w:lineRule="exact"/>
        <w:rPr>
          <w:rFonts w:ascii="仿宋_GB2312" w:eastAsia="仿宋_GB2312"/>
          <w:b/>
          <w:color w:val="000000" w:themeColor="text1"/>
          <w:sz w:val="32"/>
          <w:szCs w:val="32"/>
          <w14:textFill>
            <w14:solidFill>
              <w14:schemeClr w14:val="tx1"/>
            </w14:solidFill>
          </w14:textFill>
        </w:rPr>
      </w:pPr>
    </w:p>
    <w:p>
      <w:pPr>
        <w:numPr>
          <w:ilvl w:val="0"/>
          <w:numId w:val="2"/>
        </w:num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课程描述</w:t>
      </w:r>
    </w:p>
    <w:p>
      <w:pPr>
        <w:overflowPunct w:val="0"/>
        <w:adjustRightInd w:val="0"/>
        <w:snapToGrid w:val="0"/>
        <w:spacing w:line="440" w:lineRule="exact"/>
        <w:outlineLvl w:val="0"/>
        <w:rPr>
          <w:rFonts w:ascii="楷体_GB2312" w:eastAsia="楷体_GB2312"/>
          <w:b/>
          <w:sz w:val="28"/>
          <w:szCs w:val="28"/>
        </w:rPr>
      </w:pPr>
      <w:r>
        <w:rPr>
          <w:rFonts w:hint="eastAsia" w:ascii="楷体_GB2312" w:eastAsia="楷体_GB2312"/>
          <w:b/>
          <w:sz w:val="28"/>
          <w:szCs w:val="28"/>
        </w:rPr>
        <w:t>（一）专业（技能）核心课程</w:t>
      </w:r>
    </w:p>
    <w:p>
      <w:pPr>
        <w:overflowPunct w:val="0"/>
        <w:adjustRightInd w:val="0"/>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围绕市场营销专业人才培养目标，结合岗位群要求，在确定专业课程体系的基础上，对接1+x职业技能等级证书标准，将下列课程作为本专业的核心课程。</w:t>
      </w:r>
    </w:p>
    <w:tbl>
      <w:tblPr>
        <w:tblStyle w:val="11"/>
        <w:tblpPr w:leftFromText="180" w:rightFromText="180" w:vertAnchor="text" w:horzAnchor="page" w:tblpX="1990" w:tblpY="147"/>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520"/>
        <w:gridCol w:w="1248"/>
        <w:gridCol w:w="1056"/>
        <w:gridCol w:w="141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spacing w:line="260" w:lineRule="exact"/>
              <w:jc w:val="center"/>
              <w:rPr>
                <w:rFonts w:ascii="宋体" w:hAnsi="宋体"/>
                <w:b/>
                <w:bCs/>
                <w:sz w:val="24"/>
              </w:rPr>
            </w:pPr>
            <w:r>
              <w:rPr>
                <w:rFonts w:hint="eastAsia" w:ascii="宋体" w:hAnsi="宋体"/>
                <w:b/>
                <w:bCs/>
                <w:sz w:val="24"/>
              </w:rPr>
              <w:t>序号</w:t>
            </w:r>
          </w:p>
        </w:tc>
        <w:tc>
          <w:tcPr>
            <w:tcW w:w="2520" w:type="dxa"/>
            <w:shd w:val="clear" w:color="auto" w:fill="auto"/>
            <w:vAlign w:val="center"/>
          </w:tcPr>
          <w:p>
            <w:pPr>
              <w:spacing w:line="260" w:lineRule="exact"/>
              <w:jc w:val="center"/>
              <w:rPr>
                <w:rFonts w:ascii="宋体" w:hAnsi="宋体"/>
                <w:b/>
                <w:bCs/>
                <w:sz w:val="24"/>
              </w:rPr>
            </w:pPr>
            <w:r>
              <w:rPr>
                <w:rFonts w:hint="eastAsia" w:ascii="宋体" w:hAnsi="宋体"/>
                <w:b/>
                <w:bCs/>
                <w:sz w:val="24"/>
              </w:rPr>
              <w:t>课程名称</w:t>
            </w:r>
          </w:p>
        </w:tc>
        <w:tc>
          <w:tcPr>
            <w:tcW w:w="1248" w:type="dxa"/>
            <w:shd w:val="clear" w:color="auto" w:fill="auto"/>
            <w:vAlign w:val="center"/>
          </w:tcPr>
          <w:p>
            <w:pPr>
              <w:spacing w:line="260" w:lineRule="exact"/>
              <w:jc w:val="center"/>
              <w:rPr>
                <w:rFonts w:ascii="宋体" w:hAnsi="宋体"/>
                <w:b/>
                <w:bCs/>
                <w:sz w:val="24"/>
              </w:rPr>
            </w:pPr>
            <w:r>
              <w:rPr>
                <w:rFonts w:hint="eastAsia" w:ascii="宋体" w:hAnsi="宋体"/>
                <w:b/>
                <w:bCs/>
                <w:sz w:val="24"/>
              </w:rPr>
              <w:t>开始学期</w:t>
            </w:r>
          </w:p>
        </w:tc>
        <w:tc>
          <w:tcPr>
            <w:tcW w:w="1056" w:type="dxa"/>
            <w:shd w:val="clear" w:color="auto" w:fill="auto"/>
            <w:vAlign w:val="center"/>
          </w:tcPr>
          <w:p>
            <w:pPr>
              <w:spacing w:line="260" w:lineRule="exact"/>
              <w:jc w:val="center"/>
              <w:rPr>
                <w:rFonts w:ascii="宋体" w:hAnsi="宋体"/>
                <w:b/>
                <w:bCs/>
                <w:sz w:val="24"/>
              </w:rPr>
            </w:pPr>
            <w:r>
              <w:rPr>
                <w:rFonts w:hint="eastAsia" w:ascii="宋体" w:hAnsi="宋体"/>
                <w:b/>
                <w:bCs/>
                <w:sz w:val="24"/>
              </w:rPr>
              <w:t>周课时</w:t>
            </w:r>
          </w:p>
        </w:tc>
        <w:tc>
          <w:tcPr>
            <w:tcW w:w="1415" w:type="dxa"/>
            <w:shd w:val="clear" w:color="auto" w:fill="auto"/>
            <w:vAlign w:val="center"/>
          </w:tcPr>
          <w:p>
            <w:pPr>
              <w:spacing w:line="260" w:lineRule="exact"/>
              <w:jc w:val="center"/>
              <w:rPr>
                <w:rFonts w:ascii="宋体" w:hAnsi="宋体"/>
                <w:b/>
                <w:bCs/>
                <w:sz w:val="24"/>
              </w:rPr>
            </w:pPr>
            <w:r>
              <w:rPr>
                <w:rFonts w:hint="eastAsia" w:ascii="宋体" w:hAnsi="宋体"/>
                <w:b/>
                <w:bCs/>
                <w:sz w:val="24"/>
              </w:rPr>
              <w:t>课程类型（A/B/C）</w:t>
            </w:r>
          </w:p>
        </w:tc>
        <w:tc>
          <w:tcPr>
            <w:tcW w:w="1101" w:type="dxa"/>
            <w:shd w:val="clear" w:color="auto" w:fill="auto"/>
            <w:vAlign w:val="center"/>
          </w:tcPr>
          <w:p>
            <w:pPr>
              <w:spacing w:line="260" w:lineRule="exact"/>
              <w:jc w:val="center"/>
              <w:rPr>
                <w:rFonts w:ascii="宋体" w:hAnsi="宋体"/>
                <w:b/>
                <w:bCs/>
                <w:sz w:val="24"/>
              </w:rPr>
            </w:pPr>
            <w:r>
              <w:rPr>
                <w:rFonts w:hint="eastAsia" w:ascii="宋体" w:hAnsi="宋体"/>
                <w:b/>
                <w:bCs/>
                <w:sz w:val="24"/>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1</w:t>
            </w:r>
          </w:p>
        </w:tc>
        <w:tc>
          <w:tcPr>
            <w:tcW w:w="2520"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市场营销实务</w:t>
            </w:r>
          </w:p>
        </w:tc>
        <w:tc>
          <w:tcPr>
            <w:tcW w:w="1248"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1</w:t>
            </w:r>
          </w:p>
        </w:tc>
        <w:tc>
          <w:tcPr>
            <w:tcW w:w="1056"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41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B</w:t>
            </w:r>
          </w:p>
        </w:tc>
        <w:tc>
          <w:tcPr>
            <w:tcW w:w="1101"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2</w:t>
            </w:r>
          </w:p>
        </w:tc>
        <w:tc>
          <w:tcPr>
            <w:tcW w:w="2520"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营销策划实务</w:t>
            </w:r>
          </w:p>
        </w:tc>
        <w:tc>
          <w:tcPr>
            <w:tcW w:w="1248"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3</w:t>
            </w:r>
          </w:p>
        </w:tc>
        <w:tc>
          <w:tcPr>
            <w:tcW w:w="1056"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41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B</w:t>
            </w:r>
          </w:p>
        </w:tc>
        <w:tc>
          <w:tcPr>
            <w:tcW w:w="1101"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3</w:t>
            </w:r>
          </w:p>
        </w:tc>
        <w:tc>
          <w:tcPr>
            <w:tcW w:w="2520"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商务谈判与推销技巧</w:t>
            </w:r>
          </w:p>
        </w:tc>
        <w:tc>
          <w:tcPr>
            <w:tcW w:w="1248"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056"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41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B</w:t>
            </w:r>
          </w:p>
        </w:tc>
        <w:tc>
          <w:tcPr>
            <w:tcW w:w="1101"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2520"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市场调查实务</w:t>
            </w:r>
          </w:p>
        </w:tc>
        <w:tc>
          <w:tcPr>
            <w:tcW w:w="1248"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056"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41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B</w:t>
            </w:r>
          </w:p>
        </w:tc>
        <w:tc>
          <w:tcPr>
            <w:tcW w:w="1101"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5</w:t>
            </w:r>
          </w:p>
        </w:tc>
        <w:tc>
          <w:tcPr>
            <w:tcW w:w="2520"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消费心理理论与实务</w:t>
            </w:r>
          </w:p>
        </w:tc>
        <w:tc>
          <w:tcPr>
            <w:tcW w:w="1248"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2</w:t>
            </w:r>
          </w:p>
        </w:tc>
        <w:tc>
          <w:tcPr>
            <w:tcW w:w="1056"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41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B</w:t>
            </w:r>
          </w:p>
        </w:tc>
        <w:tc>
          <w:tcPr>
            <w:tcW w:w="1101"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6</w:t>
            </w:r>
          </w:p>
        </w:tc>
        <w:tc>
          <w:tcPr>
            <w:tcW w:w="2520"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网络营销实务</w:t>
            </w:r>
          </w:p>
        </w:tc>
        <w:tc>
          <w:tcPr>
            <w:tcW w:w="1248"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3</w:t>
            </w:r>
          </w:p>
        </w:tc>
        <w:tc>
          <w:tcPr>
            <w:tcW w:w="1056"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4</w:t>
            </w:r>
          </w:p>
        </w:tc>
        <w:tc>
          <w:tcPr>
            <w:tcW w:w="1415"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B</w:t>
            </w:r>
          </w:p>
        </w:tc>
        <w:tc>
          <w:tcPr>
            <w:tcW w:w="1101" w:type="dxa"/>
            <w:shd w:val="clear" w:color="auto" w:fill="auto"/>
            <w:vAlign w:val="center"/>
          </w:tcPr>
          <w:p>
            <w:pPr>
              <w:overflowPunct w:val="0"/>
              <w:adjustRightInd w:val="0"/>
              <w:snapToGrid w:val="0"/>
              <w:spacing w:line="440" w:lineRule="exact"/>
              <w:jc w:val="center"/>
              <w:rPr>
                <w:rFonts w:ascii="宋体" w:hAnsi="宋体"/>
                <w:sz w:val="24"/>
              </w:rPr>
            </w:pPr>
            <w:r>
              <w:rPr>
                <w:rFonts w:hint="eastAsia" w:ascii="宋体" w:hAnsi="宋体"/>
                <w:sz w:val="24"/>
              </w:rPr>
              <w:t>72</w:t>
            </w:r>
          </w:p>
        </w:tc>
      </w:tr>
    </w:tbl>
    <w:p>
      <w:pPr>
        <w:overflowPunct w:val="0"/>
        <w:adjustRightInd w:val="0"/>
        <w:snapToGrid w:val="0"/>
        <w:spacing w:line="440" w:lineRule="exact"/>
        <w:outlineLvl w:val="0"/>
        <w:rPr>
          <w:rFonts w:ascii="黑体" w:hAnsi="Tahoma" w:eastAsia="黑体"/>
          <w:color w:val="000000"/>
          <w:kern w:val="0"/>
          <w:sz w:val="28"/>
          <w:szCs w:val="28"/>
        </w:rPr>
      </w:pPr>
      <w:r>
        <w:rPr>
          <w:rFonts w:hint="eastAsia" w:ascii="楷体_GB2312" w:eastAsia="楷体_GB2312"/>
          <w:b/>
          <w:sz w:val="28"/>
          <w:szCs w:val="28"/>
        </w:rPr>
        <w:t>（二）专业（技能）核心课程描述</w:t>
      </w:r>
      <w:r>
        <w:rPr>
          <w:rFonts w:hint="eastAsia" w:ascii="黑体" w:eastAsia="黑体"/>
          <w:color w:val="000000"/>
          <w:sz w:val="28"/>
          <w:szCs w:val="28"/>
        </w:rPr>
        <w:t xml:space="preserve"> </w:t>
      </w:r>
    </w:p>
    <w:p>
      <w:pPr>
        <w:spacing w:line="440" w:lineRule="exact"/>
        <w:ind w:firstLine="480" w:firstLineChars="200"/>
        <w:rPr>
          <w:rFonts w:ascii="黑体" w:hAnsi="黑体" w:eastAsia="黑体" w:cstheme="minorEastAsia"/>
          <w:b/>
          <w:sz w:val="24"/>
          <w:szCs w:val="22"/>
        </w:rPr>
      </w:pPr>
      <w:r>
        <w:rPr>
          <w:rFonts w:hint="eastAsia" w:ascii="黑体" w:eastAsia="黑体"/>
          <w:color w:val="000000"/>
          <w:sz w:val="24"/>
        </w:rPr>
        <w:t>1、</w:t>
      </w:r>
      <w:r>
        <w:rPr>
          <w:rFonts w:hint="eastAsia" w:ascii="黑体" w:hAnsi="黑体" w:eastAsia="黑体" w:cstheme="minorEastAsia"/>
          <w:b/>
          <w:sz w:val="24"/>
        </w:rPr>
        <w:t>市场营销实务（</w:t>
      </w:r>
      <w:bookmarkStart w:id="3" w:name="_Hlk87905117"/>
      <w:r>
        <w:rPr>
          <w:rFonts w:hint="eastAsia" w:ascii="黑体" w:hAnsi="黑体" w:eastAsia="黑体" w:cstheme="minorEastAsia"/>
          <w:b/>
          <w:sz w:val="24"/>
        </w:rPr>
        <w:t>72学时，B类课程，课程负责人：王似保）</w:t>
      </w:r>
      <w:bookmarkEnd w:id="3"/>
    </w:p>
    <w:tbl>
      <w:tblPr>
        <w:tblStyle w:val="1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06"/>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课程目标</w:t>
            </w:r>
          </w:p>
        </w:tc>
        <w:tc>
          <w:tcPr>
            <w:tcW w:w="7748" w:type="dxa"/>
            <w:gridSpan w:val="2"/>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color w:val="000000"/>
                <w:szCs w:val="21"/>
              </w:rPr>
              <w:t>通过本课程的教学，使学生掌握市场营销学的基本原理、基本研究方法和基本技能，提高学生的职业实践能力，达到助理营销师职业资格的考试要求，为学生学习和掌握市场营销专业其他专业课程理论知识和职业能力、适应市场营销岗位工作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3" w:type="dxa"/>
            <w:vMerge w:val="restart"/>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课</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宋体" w:hAnsi="宋体" w:cs="宋体"/>
                <w:szCs w:val="21"/>
              </w:rPr>
              <w:t>内</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宋体" w:hAnsi="宋体" w:cs="宋体"/>
                <w:szCs w:val="21"/>
              </w:rPr>
              <w:t>容</w:t>
            </w: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项    目</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工  作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eastAsia="微软雅黑" w:asciiTheme="minorEastAsia" w:hAnsiTheme="minorEastAsia" w:cstheme="minorEastAsia"/>
                <w:szCs w:val="21"/>
              </w:rPr>
            </w:pPr>
            <w:r>
              <w:rPr>
                <w:rFonts w:hint="eastAsia" w:asciiTheme="minorEastAsia" w:hAnsiTheme="minorEastAsia" w:cstheme="minorEastAsia"/>
                <w:szCs w:val="21"/>
              </w:rPr>
              <w:t>项目一</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建立营销概念</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1.了解市场营销学的外延与内涵；</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2.掌握市场营销的含义；</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3.掌握与市场营销有关的概念。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项目二</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市场营销管理哲学</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1.理解市场营销管理、市场营销管理哲学的含义和市场营销管理的任务；</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2.掌握市场营销管理哲学的演进；</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3.掌握顾客满意理论。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项目三</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市场营销发展新趋势</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1.了解市场营销发展的新趋向；</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2.掌握关系营销、服务营销、绿色营销、网络营销的含义与特点。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项目四</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市场营销环境分析</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1.了解市场营销环境的含义、特点以及市场营销活动与市场营销环境的关系；</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2.理解微观与宏观市场营销环境的含义；</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3.理解个人收入、个人可支配收入、个人可任意支配收入的含义；</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4.掌握恩格尔系数与定律，理解市场机会、环境威胁的含义；</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5.学会运用环境因素分析环境对市场营销活动的影响；</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6.了解企业对市场机会与环境威胁所应采取的对策。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项目五</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市场调研与预测</w:t>
            </w:r>
          </w:p>
          <w:p>
            <w:pPr>
              <w:spacing w:line="300" w:lineRule="exact"/>
              <w:jc w:val="center"/>
              <w:rPr>
                <w:rFonts w:asciiTheme="minorEastAsia" w:hAnsiTheme="minorEastAsia" w:cstheme="minorEastAsia"/>
                <w:szCs w:val="21"/>
              </w:rPr>
            </w:pP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1.理解市场营销信息系统的构成；</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2.理解市场营销调研的含义、特点、类型及程序；</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3.掌握市场调研的方法；</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4.掌握市场需求预测的基本方法。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项目六</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购买者行为分析</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1.了解生产者、消费者市场的概念、特点和购买对象；</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2.掌握生产者、消费者购买行为的类型及其购买决策的影响因素；</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3.了解生产者、消费者市场的购买过程的参与者，掌握生产者、消费者购买决策的过程。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项目七</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目标市场营销战略</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1.掌握市场细分的概念、作用、宏观基础、依据和原则；</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2.掌握目标市场的选择及策略，学会在市场细分的基础上选择目标市场；</w:t>
            </w:r>
          </w:p>
          <w:p>
            <w:pPr>
              <w:spacing w:line="30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3.掌握市场定位的概念、步骤、依据和方法，能够根据企业的实际情况进行市场定位。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课</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宋体" w:hAnsi="宋体" w:cs="宋体"/>
                <w:szCs w:val="21"/>
              </w:rPr>
              <w:t>内</w:t>
            </w:r>
          </w:p>
          <w:p>
            <w:pPr>
              <w:jc w:val="center"/>
              <w:rPr>
                <w:rFonts w:ascii="方正黑体简体" w:hAnsi="方正黑体简体" w:eastAsia="方正黑体简体" w:cs="方正黑体简体"/>
                <w:szCs w:val="21"/>
              </w:rPr>
            </w:pPr>
          </w:p>
          <w:p>
            <w:pPr>
              <w:jc w:val="center"/>
              <w:rPr>
                <w:rFonts w:eastAsia="微软雅黑" w:asciiTheme="minorEastAsia" w:hAnsiTheme="minorEastAsia" w:cstheme="minorEastAsia"/>
                <w:szCs w:val="21"/>
              </w:rPr>
            </w:pPr>
            <w:r>
              <w:rPr>
                <w:rFonts w:hint="eastAsia" w:ascii="宋体" w:hAnsi="宋体" w:cs="宋体"/>
                <w:szCs w:val="21"/>
              </w:rPr>
              <w:t>容</w:t>
            </w:r>
          </w:p>
        </w:tc>
        <w:tc>
          <w:tcPr>
            <w:tcW w:w="2306"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项目八</w:t>
            </w:r>
          </w:p>
          <w:p>
            <w:pPr>
              <w:spacing w:line="300" w:lineRule="exact"/>
              <w:jc w:val="center"/>
              <w:rPr>
                <w:rFonts w:asciiTheme="minorEastAsia" w:hAnsiTheme="minorEastAsia" w:cstheme="minorEastAsia"/>
                <w:szCs w:val="21"/>
              </w:rPr>
            </w:pPr>
            <w:r>
              <w:rPr>
                <w:rFonts w:hint="eastAsia" w:asciiTheme="minorEastAsia" w:hAnsiTheme="minorEastAsia" w:cstheme="minorEastAsia"/>
                <w:szCs w:val="21"/>
              </w:rPr>
              <w:t>市场竞争分析</w:t>
            </w:r>
          </w:p>
        </w:tc>
        <w:tc>
          <w:tcPr>
            <w:tcW w:w="5442" w:type="dxa"/>
            <w:tcBorders>
              <w:top w:val="single" w:color="auto" w:sz="4" w:space="0"/>
              <w:left w:val="single" w:color="auto" w:sz="4" w:space="0"/>
              <w:bottom w:val="single" w:color="auto" w:sz="4" w:space="0"/>
              <w:right w:val="single" w:color="auto" w:sz="4" w:space="0"/>
            </w:tcBorders>
            <w:tcMar>
              <w:top w:w="23" w:type="dxa"/>
              <w:left w:w="28" w:type="dxa"/>
              <w:bottom w:w="23"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1.掌握竞争者分析的内容；</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2.了解竞争者的特点，明确如何确定竞争对象和竞争战略；</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3.理解竞争性地位的分析思路，了解市场领导者、市场挑战者、市场跟随者及市场利基者的战略。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306"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项目九</w:t>
            </w:r>
          </w:p>
          <w:p>
            <w:pPr>
              <w:jc w:val="center"/>
              <w:rPr>
                <w:rFonts w:asciiTheme="minorEastAsia" w:hAnsiTheme="minorEastAsia" w:cstheme="minorEastAsia"/>
                <w:szCs w:val="21"/>
              </w:rPr>
            </w:pPr>
            <w:r>
              <w:rPr>
                <w:rFonts w:hint="eastAsia" w:asciiTheme="minorEastAsia" w:hAnsiTheme="minorEastAsia" w:cstheme="minorEastAsia"/>
                <w:szCs w:val="21"/>
              </w:rPr>
              <w:t>市场营销组织、</w:t>
            </w:r>
          </w:p>
          <w:p>
            <w:pPr>
              <w:jc w:val="center"/>
              <w:rPr>
                <w:rFonts w:asciiTheme="minorEastAsia" w:hAnsiTheme="minorEastAsia" w:cstheme="minorEastAsia"/>
                <w:szCs w:val="21"/>
              </w:rPr>
            </w:pPr>
            <w:r>
              <w:rPr>
                <w:rFonts w:hint="eastAsia" w:asciiTheme="minorEastAsia" w:hAnsiTheme="minorEastAsia" w:cstheme="minorEastAsia"/>
                <w:szCs w:val="21"/>
              </w:rPr>
              <w:t>执行与控制</w:t>
            </w:r>
          </w:p>
        </w:tc>
        <w:tc>
          <w:tcPr>
            <w:tcW w:w="544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1.具有运用所学原理进行年度计划控制、盈利能力控制的能力；</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2.基本掌握运用市场营销组织、执行和控制过程原理的能力。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306"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项目十</w:t>
            </w:r>
          </w:p>
          <w:p>
            <w:pPr>
              <w:jc w:val="center"/>
              <w:rPr>
                <w:rFonts w:asciiTheme="minorEastAsia" w:hAnsiTheme="minorEastAsia" w:cstheme="minorEastAsia"/>
                <w:szCs w:val="21"/>
              </w:rPr>
            </w:pPr>
            <w:r>
              <w:rPr>
                <w:rFonts w:hint="eastAsia" w:asciiTheme="minorEastAsia" w:hAnsiTheme="minorEastAsia" w:cstheme="minorEastAsia"/>
                <w:szCs w:val="21"/>
              </w:rPr>
              <w:t>产品策略</w:t>
            </w:r>
          </w:p>
        </w:tc>
        <w:tc>
          <w:tcPr>
            <w:tcW w:w="544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1.了解整体产品及产品组合的概念、熟悉产品组合策略；</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2.了解产品生命周期理论，掌握产品生命周期不同阶段的主要营销策略，根据不同周期的产品特征，设计营销策略和确定营销工作重点；</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3.掌握新产品开发与推广策略的主要内容，学会新产品的推广与扩散的实践方法；</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4.了解包装的种类和设计的基本要求，学会应用不同的包装策略。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306"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项目十一</w:t>
            </w:r>
          </w:p>
          <w:p>
            <w:pPr>
              <w:jc w:val="center"/>
              <w:rPr>
                <w:rFonts w:asciiTheme="minorEastAsia" w:hAnsiTheme="minorEastAsia" w:cstheme="minorEastAsia"/>
                <w:szCs w:val="21"/>
              </w:rPr>
            </w:pPr>
            <w:r>
              <w:rPr>
                <w:rFonts w:hint="eastAsia" w:asciiTheme="minorEastAsia" w:hAnsiTheme="minorEastAsia" w:cstheme="minorEastAsia"/>
                <w:szCs w:val="21"/>
              </w:rPr>
              <w:t>品牌与商标策略</w:t>
            </w:r>
          </w:p>
        </w:tc>
        <w:tc>
          <w:tcPr>
            <w:tcW w:w="544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1.了解品牌与商标的含义、作用、功能；</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2.熟悉品牌与商标的联系与区别；</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3.提高企业品牌与商标保护意识。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306"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项目十二</w:t>
            </w:r>
          </w:p>
          <w:p>
            <w:pPr>
              <w:jc w:val="center"/>
              <w:rPr>
                <w:rFonts w:asciiTheme="minorEastAsia" w:hAnsiTheme="minorEastAsia" w:cstheme="minorEastAsia"/>
                <w:szCs w:val="21"/>
              </w:rPr>
            </w:pPr>
            <w:r>
              <w:rPr>
                <w:rFonts w:hint="eastAsia" w:asciiTheme="minorEastAsia" w:hAnsiTheme="minorEastAsia" w:cstheme="minorEastAsia"/>
                <w:szCs w:val="21"/>
              </w:rPr>
              <w:t>定价策略</w:t>
            </w:r>
          </w:p>
        </w:tc>
        <w:tc>
          <w:tcPr>
            <w:tcW w:w="544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1.根据企业实际情况，分析影响企业营销价格的各种因素；</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2.根据影响企业定价的各种因素，进行营销定价；</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3.掌握不同企业的各种定价方法，并能制定出符合企业发展的价格策略。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306"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项目十三</w:t>
            </w:r>
          </w:p>
          <w:p>
            <w:pPr>
              <w:jc w:val="center"/>
              <w:rPr>
                <w:rFonts w:asciiTheme="minorEastAsia" w:hAnsiTheme="minorEastAsia" w:cstheme="minorEastAsia"/>
                <w:szCs w:val="21"/>
              </w:rPr>
            </w:pPr>
            <w:r>
              <w:rPr>
                <w:rFonts w:hint="eastAsia" w:asciiTheme="minorEastAsia" w:hAnsiTheme="minorEastAsia" w:cstheme="minorEastAsia"/>
                <w:szCs w:val="21"/>
              </w:rPr>
              <w:t>分销渠道策略</w:t>
            </w:r>
          </w:p>
        </w:tc>
        <w:tc>
          <w:tcPr>
            <w:tcW w:w="544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1.理解分销渠道的概念、了解分销渠道的功能；</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2.了解分销渠道的基本类型和模式；</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3.了解中间商的概念、类型和作用；</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4.掌握并能分析企业销售渠道的类型、动态和影响渠道决策的主要因素；</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5.了解并会进行渠道设计、渠道管理、能为当地的生产经营企业选择适当的营销渠道。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306"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项目十四</w:t>
            </w:r>
          </w:p>
          <w:p>
            <w:pPr>
              <w:jc w:val="center"/>
              <w:rPr>
                <w:rFonts w:asciiTheme="minorEastAsia" w:hAnsiTheme="minorEastAsia" w:cstheme="minorEastAsia"/>
                <w:szCs w:val="21"/>
              </w:rPr>
            </w:pPr>
            <w:r>
              <w:rPr>
                <w:rFonts w:hint="eastAsia" w:asciiTheme="minorEastAsia" w:hAnsiTheme="minorEastAsia" w:cstheme="minorEastAsia"/>
                <w:szCs w:val="21"/>
              </w:rPr>
              <w:t>促销策略</w:t>
            </w:r>
          </w:p>
        </w:tc>
        <w:tc>
          <w:tcPr>
            <w:tcW w:w="544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1.掌握促销组合决策的基本内容；</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2.熟悉广告媒体的选择与广告效果的测量；</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3.了解人员推销的特点、推销人员的素质要求和主要任务；</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4.熟悉营业推广和公关策略的基本原理以及主要活动方式。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建</w:t>
            </w:r>
            <w:r>
              <w:rPr>
                <w:rFonts w:hint="eastAsia" w:ascii="___WRD_EMBED_SUB_51" w:hAnsi="___WRD_EMBED_SUB_51" w:eastAsia="___WRD_EMBED_SUB_51" w:cs="___WRD_EMBED_SUB_51"/>
                <w:szCs w:val="21"/>
              </w:rPr>
              <w:t>议</w:t>
            </w:r>
          </w:p>
        </w:tc>
        <w:tc>
          <w:tcPr>
            <w:tcW w:w="7748"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项目导向，团队协作，实施案例教学，环境模拟，引导学生自主性学习，研究性学习，做到做学合一。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环境</w:t>
            </w:r>
          </w:p>
        </w:tc>
        <w:tc>
          <w:tcPr>
            <w:tcW w:w="7748"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充分利用多现代教学手段、模拟营销环境，提高学生学习积极性，充分利用校内外实训基地，让学生做中学，学中做，实行理论与实践、与具体工作岗位对接。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成</w:t>
            </w:r>
            <w:r>
              <w:rPr>
                <w:rFonts w:hint="eastAsia" w:ascii="宋体" w:hAnsi="宋体" w:cs="宋体"/>
                <w:szCs w:val="21"/>
              </w:rPr>
              <w:t>绩评定</w:t>
            </w:r>
          </w:p>
        </w:tc>
        <w:tc>
          <w:tcPr>
            <w:tcW w:w="7748"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2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成绩评定采用过程评定和结果评定相结合、平时与期末考核相结合的方式，其中平时为30%，内容包括学生上课出勤率、课堂表现、课后作业等；实训过程与结果评定各占总成绩的20%，期末笔试占总成绩的30%</w:t>
            </w:r>
            <w:r>
              <w:rPr>
                <w:rFonts w:hint="eastAsia" w:asciiTheme="minorEastAsia" w:hAnsiTheme="minorEastAsia" w:cstheme="minorEastAsia"/>
                <w:bCs/>
                <w:color w:val="000000"/>
                <w:szCs w:val="21"/>
              </w:rPr>
              <w:t>。</w:t>
            </w:r>
          </w:p>
        </w:tc>
      </w:tr>
    </w:tbl>
    <w:p>
      <w:pPr>
        <w:spacing w:line="440" w:lineRule="exact"/>
        <w:ind w:firstLine="482" w:firstLineChars="200"/>
        <w:rPr>
          <w:rFonts w:ascii="黑体" w:hAnsi="黑体" w:eastAsia="黑体" w:cstheme="minorEastAsia"/>
          <w:b/>
          <w:sz w:val="24"/>
          <w:szCs w:val="22"/>
        </w:rPr>
      </w:pPr>
      <w:r>
        <w:rPr>
          <w:rFonts w:hint="eastAsia" w:ascii="黑体" w:hAnsi="黑体" w:eastAsia="黑体" w:cstheme="minorEastAsia"/>
          <w:b/>
          <w:sz w:val="24"/>
        </w:rPr>
        <w:t>2、营销策划实务（72学时，B类课程，课程负责人：张艳艳）</w:t>
      </w:r>
    </w:p>
    <w:tbl>
      <w:tblPr>
        <w:tblStyle w:val="1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894"/>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3"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课程目标</w:t>
            </w:r>
          </w:p>
        </w:tc>
        <w:tc>
          <w:tcPr>
            <w:tcW w:w="7748" w:type="dxa"/>
            <w:gridSpan w:val="2"/>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color w:val="000000"/>
                <w:szCs w:val="21"/>
              </w:rPr>
              <w:t>通过本课程的教学，了解策划创意的形成规律，掌握创意思维能力的自我训练方法，能够根据市场调查与分析定位的结论，形成正确的策划创意，学会借助计算机工具及团队力量体现创意思想，掌握文案与提案表达创意的技能。培养策划职业人的职业道德、职业素养，学会与客户相处，与同事相处，客户与客户相处，掌握创意如何与时俱进，与社会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3" w:type="dxa"/>
            <w:vMerge w:val="restart"/>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课</w:t>
            </w:r>
          </w:p>
          <w:p>
            <w:pPr>
              <w:spacing w:line="340" w:lineRule="exact"/>
              <w:jc w:val="center"/>
              <w:rPr>
                <w:rFonts w:ascii="方正黑体简体" w:hAnsi="方正黑体简体" w:eastAsia="方正黑体简体" w:cs="方正黑体简体"/>
                <w:szCs w:val="21"/>
              </w:rPr>
            </w:pPr>
          </w:p>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spacing w:line="340" w:lineRule="exact"/>
              <w:jc w:val="center"/>
              <w:rPr>
                <w:rFonts w:ascii="方正黑体简体" w:hAnsi="方正黑体简体" w:eastAsia="方正黑体简体" w:cs="方正黑体简体"/>
                <w:szCs w:val="21"/>
              </w:rPr>
            </w:pPr>
          </w:p>
          <w:p>
            <w:pPr>
              <w:spacing w:line="340" w:lineRule="exact"/>
              <w:jc w:val="center"/>
              <w:rPr>
                <w:rFonts w:ascii="方正黑体简体" w:hAnsi="方正黑体简体" w:eastAsia="方正黑体简体" w:cs="方正黑体简体"/>
                <w:szCs w:val="21"/>
              </w:rPr>
            </w:pPr>
            <w:r>
              <w:rPr>
                <w:rFonts w:hint="eastAsia" w:ascii="宋体" w:hAnsi="宋体" w:cs="宋体"/>
                <w:szCs w:val="21"/>
              </w:rPr>
              <w:t>内</w:t>
            </w:r>
          </w:p>
          <w:p>
            <w:pPr>
              <w:spacing w:line="340" w:lineRule="exact"/>
              <w:jc w:val="center"/>
              <w:rPr>
                <w:rFonts w:ascii="方正黑体简体" w:hAnsi="方正黑体简体" w:eastAsia="方正黑体简体" w:cs="方正黑体简体"/>
                <w:szCs w:val="21"/>
              </w:rPr>
            </w:pPr>
          </w:p>
          <w:p>
            <w:pPr>
              <w:spacing w:line="340" w:lineRule="exact"/>
              <w:jc w:val="center"/>
              <w:rPr>
                <w:rFonts w:ascii="方正黑体简体" w:hAnsi="方正黑体简体" w:eastAsia="方正黑体简体" w:cs="方正黑体简体"/>
                <w:szCs w:val="21"/>
              </w:rPr>
            </w:pPr>
            <w:r>
              <w:rPr>
                <w:rFonts w:hint="eastAsia" w:ascii="宋体" w:hAnsi="宋体" w:cs="宋体"/>
                <w:szCs w:val="21"/>
              </w:rPr>
              <w:t>容</w:t>
            </w:r>
          </w:p>
        </w:tc>
        <w:tc>
          <w:tcPr>
            <w:tcW w:w="189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项    目</w:t>
            </w:r>
          </w:p>
        </w:tc>
        <w:tc>
          <w:tcPr>
            <w:tcW w:w="585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工  作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89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eastAsia="微软雅黑" w:asciiTheme="minorEastAsia" w:hAnsiTheme="minorEastAsia" w:cstheme="minorEastAsia"/>
                <w:szCs w:val="21"/>
              </w:rPr>
            </w:pPr>
            <w:r>
              <w:rPr>
                <w:rFonts w:hint="eastAsia" w:asciiTheme="minorEastAsia" w:hAnsiTheme="minorEastAsia" w:cstheme="minorEastAsia"/>
                <w:szCs w:val="21"/>
              </w:rPr>
              <w:t>项目一</w:t>
            </w:r>
          </w:p>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认识营销策划</w:t>
            </w:r>
          </w:p>
        </w:tc>
        <w:tc>
          <w:tcPr>
            <w:tcW w:w="585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1.了解营销策划的概念和类型；</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2.了解营销策划的原则和方法；</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3.掌握营销策划的流程；</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4.理解创意在营销策划中的重要性，提高自身创意思维的能力；</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5.掌握营销策划的岗位要求，培养营销策划人所需的素质和能力。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89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项目二</w:t>
            </w:r>
          </w:p>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整体营销策划</w:t>
            </w:r>
          </w:p>
        </w:tc>
        <w:tc>
          <w:tcPr>
            <w:tcW w:w="585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1.了解影响营销策划的宏观环境和微观环境；</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2.掌握SWOT分析方法；</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3.掌握市场细分策划、目标市场选择策划、市场定位策划的方法；</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4.理解营销策划的战术要素；</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5.能结合营销实践，分析营销策划的组织、实施合控制；</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6.能独立进行整体营销策划的案例分析。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89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项目三</w:t>
            </w:r>
          </w:p>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编制营销策划书</w:t>
            </w:r>
          </w:p>
        </w:tc>
        <w:tc>
          <w:tcPr>
            <w:tcW w:w="585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1.了解营销策划书的概念与编写原则；</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2.了解营销策划书的准备与要求；</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3.理解营销策划书的结构与内容；</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4.掌握撰写营销策划书的方法和技巧，能独立完成营销策划书的编制。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89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项目四</w:t>
            </w:r>
          </w:p>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营销调研策划</w:t>
            </w:r>
          </w:p>
        </w:tc>
        <w:tc>
          <w:tcPr>
            <w:tcW w:w="585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1.了解市场营销调研的含义与分类；</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2.理解市场营销调研的作用；</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3.掌握宏观环境、消费者、竞争者和营销策划的调研；</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4.掌握营销调研的程序和方法；</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5.能够独立完成营销调研策划。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89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项目五</w:t>
            </w:r>
          </w:p>
          <w:p>
            <w:pPr>
              <w:spacing w:line="340" w:lineRule="exact"/>
              <w:jc w:val="center"/>
              <w:rPr>
                <w:rFonts w:asciiTheme="minorEastAsia" w:hAnsiTheme="minorEastAsia" w:cstheme="minorEastAsia"/>
                <w:szCs w:val="21"/>
              </w:rPr>
            </w:pPr>
            <w:r>
              <w:rPr>
                <w:rFonts w:hint="eastAsia" w:asciiTheme="minorEastAsia" w:hAnsiTheme="minorEastAsia" w:cstheme="minorEastAsia"/>
                <w:szCs w:val="21"/>
              </w:rPr>
              <w:t>产品策划</w:t>
            </w:r>
          </w:p>
        </w:tc>
        <w:tc>
          <w:tcPr>
            <w:tcW w:w="5854"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1.了解产品整体概念和分类；</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2.理解产品生命周期；</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3.掌握产品组合及其策略；</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4.掌握品牌策划与包装策划的方法；</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5.掌握新产品开发的方式与过程；</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6.能够分析实例的产品组合策划、品牌策划和包装策划；</w:t>
            </w:r>
          </w:p>
          <w:p>
            <w:pPr>
              <w:spacing w:line="34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7.能够运用产品生命周期来分析新产品的上市和推广策略。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vMerge w:val="restart"/>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课</w:t>
            </w:r>
          </w:p>
          <w:p>
            <w:pPr>
              <w:spacing w:line="340" w:lineRule="exact"/>
              <w:jc w:val="center"/>
              <w:rPr>
                <w:rFonts w:ascii="方正黑体简体" w:hAnsi="方正黑体简体" w:eastAsia="方正黑体简体" w:cs="方正黑体简体"/>
                <w:szCs w:val="21"/>
              </w:rPr>
            </w:pPr>
          </w:p>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spacing w:line="340" w:lineRule="exact"/>
              <w:jc w:val="center"/>
              <w:rPr>
                <w:rFonts w:ascii="方正黑体简体" w:hAnsi="方正黑体简体" w:eastAsia="方正黑体简体" w:cs="方正黑体简体"/>
                <w:szCs w:val="21"/>
              </w:rPr>
            </w:pPr>
          </w:p>
          <w:p>
            <w:pPr>
              <w:spacing w:line="340" w:lineRule="exact"/>
              <w:jc w:val="center"/>
              <w:rPr>
                <w:rFonts w:ascii="方正黑体简体" w:hAnsi="方正黑体简体" w:eastAsia="方正黑体简体" w:cs="方正黑体简体"/>
                <w:szCs w:val="21"/>
              </w:rPr>
            </w:pPr>
            <w:r>
              <w:rPr>
                <w:rFonts w:hint="eastAsia" w:ascii="宋体" w:hAnsi="宋体" w:cs="宋体"/>
                <w:szCs w:val="21"/>
              </w:rPr>
              <w:t>内</w:t>
            </w:r>
          </w:p>
          <w:p>
            <w:pPr>
              <w:spacing w:line="340" w:lineRule="exact"/>
              <w:jc w:val="center"/>
              <w:rPr>
                <w:rFonts w:ascii="方正黑体简体" w:hAnsi="方正黑体简体" w:eastAsia="方正黑体简体" w:cs="方正黑体简体"/>
                <w:szCs w:val="21"/>
              </w:rPr>
            </w:pPr>
          </w:p>
          <w:p>
            <w:pPr>
              <w:spacing w:line="340" w:lineRule="exact"/>
              <w:jc w:val="center"/>
              <w:rPr>
                <w:rFonts w:eastAsia="微软雅黑" w:asciiTheme="minorEastAsia" w:hAnsiTheme="minorEastAsia" w:cstheme="minorEastAsia"/>
                <w:szCs w:val="21"/>
              </w:rPr>
            </w:pPr>
            <w:r>
              <w:rPr>
                <w:rFonts w:hint="eastAsia" w:ascii="宋体" w:hAnsi="宋体" w:cs="宋体"/>
                <w:szCs w:val="21"/>
              </w:rPr>
              <w:t>容</w:t>
            </w:r>
          </w:p>
        </w:tc>
        <w:tc>
          <w:tcPr>
            <w:tcW w:w="189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项目六</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价格策划</w:t>
            </w:r>
          </w:p>
        </w:tc>
        <w:tc>
          <w:tcPr>
            <w:tcW w:w="585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1.了解价格策划的作用；</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2.掌握价格策划的程序；</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3.了解营销产品定价的因素；</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4.理解企业定价的目标；</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5.掌握企业定价的策略和方法；</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6.掌握企业调价的策略和方法；</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7.能够运用企业定价、调价的策略和方法来分析实例。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189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项目七</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渠道策划</w:t>
            </w:r>
          </w:p>
        </w:tc>
        <w:tc>
          <w:tcPr>
            <w:tcW w:w="585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1.了解分销渠道的定义与构成；</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2.了解分销渠道的类型和结构；</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3.了解分销渠道的中间商和常见渠道模式；</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4.理解分销渠道策划的内容；</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5.掌握分销渠道设计的影响因素；</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6.掌握分销渠道成员激励和评估的方法；</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7.能够初步具备调整和管理渠道冲突的能力。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189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项目八</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促销策划</w:t>
            </w:r>
          </w:p>
        </w:tc>
        <w:tc>
          <w:tcPr>
            <w:tcW w:w="585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1.了解促销的含义与作用；</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2.了解广告策划、人员策划、营业推广和公共关系的含义和特点；</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3.掌握基本促销策划与促销组合；</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4.掌握广告策划的原则和步骤；</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5.掌握人员推销策划的任务和步骤；</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6.掌握营业推广策划的步骤和方式；</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7.掌握公共关系策划的步骤以及公共关系危机的处理方法；</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8.能够具备初步完成促销策划的能力。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189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项目九</w:t>
            </w:r>
          </w:p>
          <w:p>
            <w:pPr>
              <w:spacing w:line="320" w:lineRule="exact"/>
              <w:jc w:val="center"/>
              <w:rPr>
                <w:rFonts w:asciiTheme="minorEastAsia" w:hAnsiTheme="minorEastAsia" w:cstheme="minorEastAsia"/>
                <w:szCs w:val="21"/>
              </w:rPr>
            </w:pPr>
            <w:r>
              <w:rPr>
                <w:rFonts w:hint="eastAsia" w:asciiTheme="minorEastAsia" w:hAnsiTheme="minorEastAsia" w:cstheme="minorEastAsia"/>
                <w:szCs w:val="21"/>
              </w:rPr>
              <w:t>营销策划应用</w:t>
            </w:r>
          </w:p>
        </w:tc>
        <w:tc>
          <w:tcPr>
            <w:tcW w:w="5854" w:type="dxa"/>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1.了解企业形象及企业形象策划；</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2.了解网络营销及网络营销策划；</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3.了解顾客满意与顾客满意度；</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4.了解会展与会展策划；</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5.掌握企业形象策划的内容和步骤；</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6.掌握网络营销工具及策划方法；</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7.根据实例，掌握酒店营销策划的方法；</w:t>
            </w:r>
          </w:p>
          <w:p>
            <w:pPr>
              <w:spacing w:line="32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8.根据实例，掌握会展营销策划的方法。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建</w:t>
            </w:r>
            <w:r>
              <w:rPr>
                <w:rFonts w:hint="eastAsia" w:ascii="___WRD_EMBED_SUB_51" w:hAnsi="___WRD_EMBED_SUB_51" w:eastAsia="___WRD_EMBED_SUB_51" w:cs="___WRD_EMBED_SUB_51"/>
                <w:szCs w:val="21"/>
              </w:rPr>
              <w:t>议</w:t>
            </w:r>
          </w:p>
        </w:tc>
        <w:tc>
          <w:tcPr>
            <w:tcW w:w="7748" w:type="dxa"/>
            <w:gridSpan w:val="2"/>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项目导向，团队协作，实施案例教学，环境模拟，引导学生自主性学习，研究性学习，做到做学合一。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环境</w:t>
            </w:r>
          </w:p>
        </w:tc>
        <w:tc>
          <w:tcPr>
            <w:tcW w:w="7748" w:type="dxa"/>
            <w:gridSpan w:val="2"/>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充分利用多现代教学手段、模拟营销环境，提高学生学习积极性，充分利用校外实训基地，让接触具体企业和行业，做中学，学中做，理论运用实践，实践完善自己所学理论。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83" w:type="dxa"/>
            <w:tcBorders>
              <w:top w:val="single" w:color="auto" w:sz="4" w:space="0"/>
              <w:left w:val="single" w:color="auto" w:sz="4" w:space="0"/>
              <w:bottom w:val="single" w:color="auto" w:sz="4" w:space="0"/>
              <w:right w:val="single" w:color="auto" w:sz="4" w:space="0"/>
            </w:tcBorders>
            <w:tcMar>
              <w:top w:w="62" w:type="dxa"/>
              <w:left w:w="28" w:type="dxa"/>
              <w:bottom w:w="62" w:type="dxa"/>
              <w:right w:w="28" w:type="dxa"/>
            </w:tcMar>
            <w:vAlign w:val="center"/>
          </w:tcPr>
          <w:p>
            <w:pPr>
              <w:spacing w:line="34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成</w:t>
            </w:r>
            <w:r>
              <w:rPr>
                <w:rFonts w:hint="eastAsia" w:ascii="宋体" w:hAnsi="宋体" w:cs="宋体"/>
                <w:szCs w:val="21"/>
              </w:rPr>
              <w:t>绩评定</w:t>
            </w:r>
          </w:p>
        </w:tc>
        <w:tc>
          <w:tcPr>
            <w:tcW w:w="7748" w:type="dxa"/>
            <w:gridSpan w:val="2"/>
            <w:tcBorders>
              <w:top w:val="single" w:color="auto" w:sz="4" w:space="0"/>
              <w:left w:val="single" w:color="auto" w:sz="4" w:space="0"/>
              <w:bottom w:val="single" w:color="auto" w:sz="4" w:space="0"/>
              <w:right w:val="single" w:color="auto" w:sz="4" w:space="0"/>
            </w:tcBorders>
            <w:tcMar>
              <w:top w:w="91" w:type="dxa"/>
              <w:left w:w="28" w:type="dxa"/>
              <w:bottom w:w="91" w:type="dxa"/>
              <w:right w:w="28" w:type="dxa"/>
            </w:tcMar>
            <w:vAlign w:val="center"/>
          </w:tcPr>
          <w:p>
            <w:pPr>
              <w:spacing w:line="32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成绩评定采用过程评定和结果评定相结合、平时与期末考核相结合的方式，其中平时为30%，内容包括学生上课出勤率、课堂表现、课后作业等；实训过程与结果评定各占总成绩的20%，期末笔试占总成绩的30%</w:t>
            </w:r>
            <w:r>
              <w:rPr>
                <w:rFonts w:hint="eastAsia" w:asciiTheme="minorEastAsia" w:hAnsiTheme="minorEastAsia" w:cstheme="minorEastAsia"/>
                <w:bCs/>
                <w:color w:val="000000"/>
                <w:szCs w:val="21"/>
              </w:rPr>
              <w:t>。</w:t>
            </w:r>
          </w:p>
        </w:tc>
      </w:tr>
    </w:tbl>
    <w:p>
      <w:pPr>
        <w:spacing w:line="440" w:lineRule="exact"/>
        <w:ind w:firstLine="482" w:firstLineChars="200"/>
        <w:rPr>
          <w:rFonts w:ascii="黑体" w:hAnsi="黑体" w:eastAsia="黑体" w:cstheme="minorEastAsia"/>
          <w:b/>
          <w:sz w:val="24"/>
          <w:szCs w:val="22"/>
        </w:rPr>
      </w:pPr>
      <w:r>
        <w:rPr>
          <w:rFonts w:hint="eastAsia" w:ascii="黑体" w:hAnsi="黑体" w:eastAsia="黑体" w:cstheme="minorEastAsia"/>
          <w:b/>
          <w:sz w:val="24"/>
        </w:rPr>
        <w:t>3、商务谈判与推销技巧（72学时，B类课程，课程负责人：王似保）</w:t>
      </w:r>
    </w:p>
    <w:tbl>
      <w:tblPr>
        <w:tblStyle w:val="1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69"/>
        <w:gridCol w:w="5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课程目标</w:t>
            </w:r>
          </w:p>
        </w:tc>
        <w:tc>
          <w:tcPr>
            <w:tcW w:w="7748"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pStyle w:val="9"/>
              <w:shd w:val="clear" w:color="auto" w:fill="FFFFFF"/>
              <w:adjustRightInd w:val="0"/>
              <w:spacing w:line="360" w:lineRule="exact"/>
              <w:ind w:firstLine="344" w:firstLineChars="164"/>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 xml:space="preserve">通过《商务谈判与推销技巧》课程学习，主要培养营销人员的商务谈判与推销的专业技能及沟通与交流的综合素质。要求学生掌握谈判与推销的基本知识，熟悉谈判与推销的工作过程，掌握谈判与推销的策略，形成商务谈判与推销的综合能力与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83" w:type="dxa"/>
            <w:vMerge w:val="restart"/>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w:t>
            </w:r>
          </w:p>
          <w:p>
            <w:pPr>
              <w:spacing w:line="360" w:lineRule="exact"/>
              <w:jc w:val="center"/>
              <w:rPr>
                <w:rFonts w:ascii="方正黑体简体" w:hAnsi="方正黑体简体" w:eastAsia="方正黑体简体" w:cs="方正黑体简体"/>
                <w:szCs w:val="21"/>
              </w:rPr>
            </w:pPr>
          </w:p>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spacing w:line="360" w:lineRule="exact"/>
              <w:jc w:val="center"/>
              <w:rPr>
                <w:rFonts w:ascii="方正黑体简体" w:hAnsi="方正黑体简体" w:eastAsia="方正黑体简体" w:cs="方正黑体简体"/>
                <w:szCs w:val="21"/>
              </w:rPr>
            </w:pPr>
          </w:p>
          <w:p>
            <w:pPr>
              <w:spacing w:line="360" w:lineRule="exact"/>
              <w:jc w:val="center"/>
              <w:rPr>
                <w:rFonts w:ascii="方正黑体简体" w:hAnsi="方正黑体简体" w:eastAsia="方正黑体简体" w:cs="方正黑体简体"/>
                <w:szCs w:val="21"/>
              </w:rPr>
            </w:pPr>
            <w:r>
              <w:rPr>
                <w:rFonts w:hint="eastAsia" w:ascii="宋体" w:hAnsi="宋体" w:cs="宋体"/>
                <w:szCs w:val="21"/>
              </w:rPr>
              <w:t>内</w:t>
            </w:r>
          </w:p>
          <w:p>
            <w:pPr>
              <w:spacing w:line="360" w:lineRule="exact"/>
              <w:jc w:val="center"/>
              <w:rPr>
                <w:rFonts w:ascii="方正黑体简体" w:hAnsi="方正黑体简体" w:eastAsia="方正黑体简体" w:cs="方正黑体简体"/>
                <w:szCs w:val="21"/>
              </w:rPr>
            </w:pPr>
          </w:p>
          <w:p>
            <w:pPr>
              <w:spacing w:line="360" w:lineRule="exact"/>
              <w:jc w:val="center"/>
              <w:rPr>
                <w:rFonts w:ascii="方正黑体简体" w:hAnsi="方正黑体简体" w:eastAsia="方正黑体简体" w:cs="方正黑体简体"/>
                <w:szCs w:val="21"/>
              </w:rPr>
            </w:pPr>
            <w:r>
              <w:rPr>
                <w:rFonts w:hint="eastAsia" w:ascii="宋体" w:hAnsi="宋体" w:cs="宋体"/>
                <w:szCs w:val="21"/>
              </w:rPr>
              <w:t>容</w:t>
            </w: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项    目</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工  作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eastAsia="微软雅黑" w:asciiTheme="minorEastAsia" w:hAnsiTheme="minorEastAsia" w:cstheme="minorEastAsia"/>
                <w:szCs w:val="21"/>
              </w:rPr>
            </w:pPr>
            <w:r>
              <w:rPr>
                <w:rFonts w:hint="eastAsia" w:asciiTheme="minorEastAsia" w:hAnsiTheme="minorEastAsia" w:cstheme="minorEastAsia"/>
                <w:szCs w:val="21"/>
              </w:rPr>
              <w:t>项目一</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商务谈判概述</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1.理解商务谈判的概念；</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2.掌握谈判的基本要素；</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3.了解商务谈判的特点、种类；</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4.领会商务谈判的原则并能运用这些原则；</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5.掌握判断商务谈判成败的指标以及商务谈判的步骤；</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6.熟悉商务谈判的阶段及基本方式。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项目二</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商务谈判准备</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1.了解商务谈判信息的内容、作用和分类；</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2.掌握商务谈判信息的收集和处理方法；</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3.能够进行商务谈判的管理工作并组建谈判团队。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项目三</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商务谈判策略</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1.了解谈判开局、磋商以及结束三阶段的主要任务；</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2.掌握如何建立良好的开局气氛并确定谈判议程和开场陈述的技巧；</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3.掌握报价、讨价、还价的基本原则；</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4.掌握灵活处理磋商过程中的冲突、合作及让步方法；</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5.掌握突破僵局的策略；</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6.了解成交后的基本工作以及合同的概念、特点和种类。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项目四</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商务谈判技巧</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1.理解优势、劣势、平等地位下不同地的谈判技巧；</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2.理解沟通方式在商务谈判工作中的重要意义；</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3.掌握谈判中听、说、问等沟通技巧。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 xml:space="preserve">项目五  </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国际商务谈判</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1.了解国际商务谈判中谈判行为的特殊性，明确文化差异对商务谈判行为的影响力；</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2.熟悉美国、英国、法国、德国、俄罗斯以及日本、韩国、阿拉伯国家伤人的基本谈判风格。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项目六</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商务谈判礼仪与禁忌</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1.了解商务场合男士、女士的服饰礼仪与禁忌；</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2.掌握商务谈判过程中的行为礼仪与禁忌；</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3.熟悉宴会礼仪与禁忌。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196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项目七</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推销与推销人员</w:t>
            </w:r>
          </w:p>
        </w:tc>
        <w:tc>
          <w:tcPr>
            <w:tcW w:w="5779"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1.了解推销的产生和发以及推销在现代生活工作中的重要意义；</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2.理解推销与营销的区别；</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3.了解推销的基本概念、特点和要素；</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4.了解推销人员的基本职责和推销人员的素质内涵 ；</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5.掌握推销人员的职业能力及工作礼仪。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vMerge w:val="restart"/>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课</w:t>
            </w:r>
          </w:p>
          <w:p>
            <w:pPr>
              <w:spacing w:line="360" w:lineRule="exact"/>
              <w:jc w:val="center"/>
              <w:rPr>
                <w:rFonts w:ascii="方正黑体简体" w:hAnsi="方正黑体简体" w:eastAsia="方正黑体简体" w:cs="方正黑体简体"/>
                <w:szCs w:val="21"/>
              </w:rPr>
            </w:pPr>
          </w:p>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spacing w:line="360" w:lineRule="exact"/>
              <w:jc w:val="center"/>
              <w:rPr>
                <w:rFonts w:ascii="方正黑体简体" w:hAnsi="方正黑体简体" w:eastAsia="方正黑体简体" w:cs="方正黑体简体"/>
                <w:szCs w:val="21"/>
              </w:rPr>
            </w:pPr>
          </w:p>
          <w:p>
            <w:pPr>
              <w:spacing w:line="360" w:lineRule="exact"/>
              <w:jc w:val="center"/>
              <w:rPr>
                <w:rFonts w:ascii="方正黑体简体" w:hAnsi="方正黑体简体" w:eastAsia="方正黑体简体" w:cs="方正黑体简体"/>
                <w:szCs w:val="21"/>
              </w:rPr>
            </w:pPr>
            <w:r>
              <w:rPr>
                <w:rFonts w:hint="eastAsia" w:ascii="宋体" w:hAnsi="宋体" w:cs="宋体"/>
                <w:szCs w:val="21"/>
              </w:rPr>
              <w:t>内</w:t>
            </w:r>
          </w:p>
          <w:p>
            <w:pPr>
              <w:spacing w:line="360" w:lineRule="exact"/>
              <w:jc w:val="center"/>
              <w:rPr>
                <w:rFonts w:ascii="方正黑体简体" w:hAnsi="方正黑体简体" w:eastAsia="方正黑体简体" w:cs="方正黑体简体"/>
                <w:szCs w:val="21"/>
              </w:rPr>
            </w:pPr>
          </w:p>
          <w:p>
            <w:pPr>
              <w:spacing w:line="360" w:lineRule="exact"/>
              <w:jc w:val="center"/>
              <w:rPr>
                <w:rFonts w:eastAsia="微软雅黑" w:asciiTheme="minorEastAsia" w:hAnsiTheme="minorEastAsia" w:cstheme="minorEastAsia"/>
                <w:szCs w:val="21"/>
              </w:rPr>
            </w:pPr>
            <w:r>
              <w:rPr>
                <w:rFonts w:hint="eastAsia" w:ascii="宋体" w:hAnsi="宋体" w:cs="宋体"/>
                <w:szCs w:val="21"/>
              </w:rPr>
              <w:t>容</w:t>
            </w:r>
          </w:p>
        </w:tc>
        <w:tc>
          <w:tcPr>
            <w:tcW w:w="196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项目八</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推销心理与推销模式</w:t>
            </w:r>
          </w:p>
        </w:tc>
        <w:tc>
          <w:tcPr>
            <w:tcW w:w="577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1.了解推销心理的基本特征；</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2.理解心理对推销活动的影响作用，掌握顾客心理过程；</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3.掌握推销方格及顾客方格；</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4.掌握爱达斯、迪伯达、爱德帕以及费比四种推销模式；</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5.明确各种推销模式使用的范围及应用技巧。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196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项目九</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推销接近</w:t>
            </w:r>
          </w:p>
        </w:tc>
        <w:tc>
          <w:tcPr>
            <w:tcW w:w="577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1.能准确分析顾客特点，并掌握寻找准顾客的方法与技巧；</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2.熟悉顾客资格审查的基本内容；</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3.了解约见顾客的重要性；</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4.掌握约见顾客的方法与技巧；</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5.了解接近顾客的必要性，掌握接近顾客的方法与技巧。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196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项目十</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推销洽谈</w:t>
            </w:r>
          </w:p>
        </w:tc>
        <w:tc>
          <w:tcPr>
            <w:tcW w:w="577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1.了解推销洽谈的概念、原则及基本内容；</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2.掌握推销洽谈的基本步骤几个阶段的注意事项；</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3.掌握推销洽谈的两大类基本方法：</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4.提示法和演示法；</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5.掌握九种推销洽谈策略并了解每种策略的优缺点及应对策略。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196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项目十一</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顾客异议</w:t>
            </w:r>
          </w:p>
        </w:tc>
        <w:tc>
          <w:tcPr>
            <w:tcW w:w="577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1.了解顾客异议的概念及产生根源；</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2.掌握顾客异议处理原则；</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3.熟悉顾客异议的基本内容；</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4.掌握顾客异议的类型与各种异议处理对策；</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5.掌握九种有效地处理顾客异议的方法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196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项目十二</w:t>
            </w:r>
          </w:p>
          <w:p>
            <w:pPr>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推销成交与推销管理</w:t>
            </w:r>
          </w:p>
        </w:tc>
        <w:tc>
          <w:tcPr>
            <w:tcW w:w="5779" w:type="dxa"/>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1.了解推销成交的基本概念；</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2.掌握促成交易的时机以及九种成交方法；</w:t>
            </w:r>
          </w:p>
          <w:p>
            <w:pPr>
              <w:spacing w:line="360"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3.熟悉客户关系管理的基本内容。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建</w:t>
            </w:r>
            <w:r>
              <w:rPr>
                <w:rFonts w:hint="eastAsia" w:ascii="___WRD_EMBED_SUB_51" w:hAnsi="___WRD_EMBED_SUB_51" w:eastAsia="___WRD_EMBED_SUB_51" w:cs="___WRD_EMBED_SUB_51"/>
                <w:szCs w:val="21"/>
              </w:rPr>
              <w:t>议</w:t>
            </w:r>
          </w:p>
        </w:tc>
        <w:tc>
          <w:tcPr>
            <w:tcW w:w="7748" w:type="dxa"/>
            <w:gridSpan w:val="2"/>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团队协作，实施案例教学，情境教学、角色模拟，引导学生研究性学习，做到学以致用。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环境</w:t>
            </w:r>
          </w:p>
        </w:tc>
        <w:tc>
          <w:tcPr>
            <w:tcW w:w="7748" w:type="dxa"/>
            <w:gridSpan w:val="2"/>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充分利用多现代教学手段、营销综合模拟实训室，模拟营销环境，提高学生学习积极性，让学生做中学，学中做。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8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60"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成</w:t>
            </w:r>
            <w:r>
              <w:rPr>
                <w:rFonts w:hint="eastAsia" w:ascii="宋体" w:hAnsi="宋体" w:cs="宋体"/>
                <w:szCs w:val="21"/>
              </w:rPr>
              <w:t>绩评定</w:t>
            </w:r>
          </w:p>
        </w:tc>
        <w:tc>
          <w:tcPr>
            <w:tcW w:w="7748" w:type="dxa"/>
            <w:gridSpan w:val="2"/>
            <w:tcBorders>
              <w:top w:val="single" w:color="auto" w:sz="4" w:space="0"/>
              <w:left w:val="single" w:color="auto" w:sz="4" w:space="0"/>
              <w:bottom w:val="single" w:color="auto" w:sz="4" w:space="0"/>
              <w:right w:val="single" w:color="auto" w:sz="4" w:space="0"/>
            </w:tcBorders>
            <w:tcMar>
              <w:top w:w="136" w:type="dxa"/>
              <w:left w:w="28" w:type="dxa"/>
              <w:bottom w:w="136" w:type="dxa"/>
              <w:right w:w="28" w:type="dxa"/>
            </w:tcMar>
            <w:vAlign w:val="center"/>
          </w:tcPr>
          <w:p>
            <w:pPr>
              <w:spacing w:line="360"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成绩评定采用过程评定和结果评定相结合、平时与期末考核相结合的方式，其中平时为30%，内容包括学生上课出勤率、课堂表现、课后作业等；实训过程与结果评定各占总成绩的20%，期末笔试占总成绩的30%</w:t>
            </w:r>
            <w:r>
              <w:rPr>
                <w:rFonts w:hint="eastAsia" w:asciiTheme="minorEastAsia" w:hAnsiTheme="minorEastAsia" w:cstheme="minorEastAsia"/>
                <w:bCs/>
                <w:color w:val="000000"/>
                <w:szCs w:val="21"/>
              </w:rPr>
              <w:t>。</w:t>
            </w:r>
          </w:p>
        </w:tc>
      </w:tr>
    </w:tbl>
    <w:p>
      <w:pPr>
        <w:spacing w:line="440" w:lineRule="exact"/>
        <w:ind w:firstLine="482" w:firstLineChars="200"/>
        <w:rPr>
          <w:rFonts w:ascii="黑体" w:hAnsi="黑体" w:eastAsia="黑体" w:cstheme="minorEastAsia"/>
          <w:b/>
          <w:sz w:val="24"/>
          <w:szCs w:val="22"/>
        </w:rPr>
      </w:pPr>
      <w:r>
        <w:rPr>
          <w:rFonts w:hint="eastAsia" w:ascii="黑体" w:hAnsi="黑体" w:eastAsia="黑体" w:cstheme="minorEastAsia"/>
          <w:b/>
          <w:sz w:val="24"/>
        </w:rPr>
        <w:t>4、市场调查实务（72学时，B类课程，课程负责人：王浩）</w:t>
      </w:r>
    </w:p>
    <w:tbl>
      <w:tblPr>
        <w:tblStyle w:val="1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187"/>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课程目标</w:t>
            </w:r>
          </w:p>
        </w:tc>
        <w:tc>
          <w:tcPr>
            <w:tcW w:w="7704"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pStyle w:val="9"/>
              <w:shd w:val="clear" w:color="auto" w:fill="FFFFFF"/>
              <w:adjustRightInd w:val="0"/>
              <w:spacing w:line="306" w:lineRule="exact"/>
              <w:ind w:firstLine="344" w:firstLineChars="164"/>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 xml:space="preserve">通过《市场调查实务》课程学习，培养学生调查策划能力、访问能力、问卷撰写能力、资料整理能力，资料分析能力，报告撰写能力，学会企业营销营销诊断调查，为企业营销策划与营销活动提供相应营销信息。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7" w:type="dxa"/>
            <w:vMerge w:val="restart"/>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w:t>
            </w:r>
          </w:p>
          <w:p>
            <w:pPr>
              <w:spacing w:line="306" w:lineRule="exact"/>
              <w:jc w:val="center"/>
              <w:rPr>
                <w:rFonts w:ascii="方正黑体简体" w:hAnsi="方正黑体简体" w:eastAsia="方正黑体简体" w:cs="方正黑体简体"/>
                <w:szCs w:val="21"/>
              </w:rPr>
            </w:pPr>
          </w:p>
          <w:p>
            <w:pPr>
              <w:spacing w:line="306"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spacing w:line="306" w:lineRule="exact"/>
              <w:jc w:val="center"/>
              <w:rPr>
                <w:rFonts w:ascii="方正黑体简体" w:hAnsi="方正黑体简体" w:eastAsia="方正黑体简体" w:cs="方正黑体简体"/>
                <w:szCs w:val="21"/>
              </w:rPr>
            </w:pPr>
          </w:p>
          <w:p>
            <w:pPr>
              <w:spacing w:line="306" w:lineRule="exact"/>
              <w:jc w:val="center"/>
              <w:rPr>
                <w:rFonts w:ascii="方正黑体简体" w:hAnsi="方正黑体简体" w:eastAsia="方正黑体简体" w:cs="方正黑体简体"/>
                <w:szCs w:val="21"/>
              </w:rPr>
            </w:pPr>
            <w:r>
              <w:rPr>
                <w:rFonts w:hint="eastAsia" w:ascii="宋体" w:hAnsi="宋体" w:cs="宋体"/>
                <w:szCs w:val="21"/>
              </w:rPr>
              <w:t>内</w:t>
            </w:r>
          </w:p>
          <w:p>
            <w:pPr>
              <w:spacing w:line="306" w:lineRule="exact"/>
              <w:jc w:val="center"/>
              <w:rPr>
                <w:rFonts w:ascii="方正黑体简体" w:hAnsi="方正黑体简体" w:eastAsia="方正黑体简体" w:cs="方正黑体简体"/>
                <w:szCs w:val="21"/>
              </w:rPr>
            </w:pPr>
          </w:p>
          <w:p>
            <w:pPr>
              <w:spacing w:line="306" w:lineRule="exact"/>
              <w:jc w:val="center"/>
              <w:rPr>
                <w:rFonts w:ascii="方正黑体简体" w:hAnsi="方正黑体简体" w:eastAsia="方正黑体简体" w:cs="方正黑体简体"/>
                <w:szCs w:val="21"/>
              </w:rPr>
            </w:pPr>
            <w:r>
              <w:rPr>
                <w:rFonts w:hint="eastAsia" w:ascii="宋体" w:hAnsi="宋体" w:cs="宋体"/>
                <w:szCs w:val="21"/>
              </w:rPr>
              <w:t>容</w:t>
            </w: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项    目</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工  作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eastAsia="微软雅黑" w:asciiTheme="minorEastAsia" w:hAnsiTheme="minorEastAsia" w:cstheme="minorEastAsia"/>
                <w:szCs w:val="21"/>
              </w:rPr>
            </w:pPr>
            <w:r>
              <w:rPr>
                <w:rFonts w:hint="eastAsia" w:asciiTheme="minorEastAsia" w:hAnsiTheme="minorEastAsia" w:cstheme="minorEastAsia"/>
                <w:szCs w:val="21"/>
              </w:rPr>
              <w:t>项目一</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提炼确立市场调查主题语内容</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1.掌握调研主题确定的原则；</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2.掌握调研内容与主题关系判断的方法；3.能够透过现象发现本质，提炼出调研主题；</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4.能据调研主题确定恰当的调研内容。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项目二</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设计市场调查问卷</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1.掌握调查内容与调查细目的关系与取舍原理;</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2.掌握调查问卷结构、问卷封面信、调查问卷问题与答案的设计原则。</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3.能够把调查内容具体化为一个个准确的调查细目;</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4.能够围绕主题内容运用问卷设计技术设计出一份调查问卷。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项目三</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制定市场调查方案</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1.掌握调研方案设计程序与工作要求；</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2.能够设计出符合实际的，具有可操作性的市场调研方案。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项目四</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选定市场调查机构、人员与培训</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1.掌握市场调查机构类型、特点;</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2.掌握调研员培训的内容与要求；</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3.能够选择适宜的调查机构；</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4.能够对调查人员进行专业培训。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项目五</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确定市场信息收集方式方法</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1.掌握调研对象确定的四种方法；</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2.了解信息收集的各种方法与优缺点，注意事项；</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3.能够使用恰当的方法确定调查对象;</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4.能够熟练应用各种信息收集方法收集信息。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项目六</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整理市场调查信息</w:t>
            </w:r>
          </w:p>
          <w:p>
            <w:pPr>
              <w:spacing w:line="306" w:lineRule="exact"/>
              <w:jc w:val="center"/>
              <w:rPr>
                <w:rFonts w:asciiTheme="minorEastAsia" w:hAnsiTheme="minorEastAsia" w:cstheme="minorEastAsia"/>
                <w:szCs w:val="21"/>
              </w:rPr>
            </w:pP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1.掌握信息整理的步骤、原则以及信息整理的基本方法。</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2.能够运用信息整理技术对现有信息进行梳理。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项目七</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分析市场调查信息</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b/>
                <w:bCs/>
                <w:szCs w:val="21"/>
              </w:rPr>
            </w:pPr>
            <w:r>
              <w:rPr>
                <w:rFonts w:hint="eastAsia" w:asciiTheme="minorEastAsia" w:hAnsiTheme="minorEastAsia" w:cstheme="minorEastAsia"/>
                <w:szCs w:val="21"/>
              </w:rPr>
              <w:t>1.掌握定性定量分析方法、动态静态分析方法、定性预测方法、定量预测方法；</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2.能够对整理后的信息依据统计模型进行定量、定性或动态、静态分析;</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3.能够运用定性定量方法预测事物发展趋势。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8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项目八</w:t>
            </w:r>
          </w:p>
          <w:p>
            <w:pPr>
              <w:spacing w:line="306" w:lineRule="exact"/>
              <w:jc w:val="center"/>
              <w:rPr>
                <w:rFonts w:asciiTheme="minorEastAsia" w:hAnsiTheme="minorEastAsia" w:cstheme="minorEastAsia"/>
                <w:szCs w:val="21"/>
              </w:rPr>
            </w:pPr>
            <w:r>
              <w:rPr>
                <w:rFonts w:hint="eastAsia" w:asciiTheme="minorEastAsia" w:hAnsiTheme="minorEastAsia" w:cstheme="minorEastAsia"/>
                <w:szCs w:val="21"/>
              </w:rPr>
              <w:t>撰写市场调查报告</w:t>
            </w:r>
          </w:p>
        </w:tc>
        <w:tc>
          <w:tcPr>
            <w:tcW w:w="551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1.掌握调查报告撰写格式、步骤、撰写形式与技巧；</w:t>
            </w:r>
          </w:p>
          <w:p>
            <w:pPr>
              <w:spacing w:line="306"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2.能够撰写高质量、有效力的专项调查报告。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建</w:t>
            </w:r>
            <w:r>
              <w:rPr>
                <w:rFonts w:hint="eastAsia" w:ascii="___WRD_EMBED_SUB_51" w:hAnsi="___WRD_EMBED_SUB_51" w:eastAsia="___WRD_EMBED_SUB_51" w:cs="___WRD_EMBED_SUB_51"/>
                <w:szCs w:val="21"/>
              </w:rPr>
              <w:t>议</w:t>
            </w:r>
          </w:p>
        </w:tc>
        <w:tc>
          <w:tcPr>
            <w:tcW w:w="7704"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实施案例教学，环境模拟、角色模拟等，引导学生研究性学习，并在相互学习中得以提高。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环境</w:t>
            </w:r>
          </w:p>
        </w:tc>
        <w:tc>
          <w:tcPr>
            <w:tcW w:w="7704"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充分利用多现代教学手段、模拟营销环境，提高学生学习积极性，让学生做中学，学中做。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成</w:t>
            </w:r>
            <w:r>
              <w:rPr>
                <w:rFonts w:hint="eastAsia" w:ascii="宋体" w:hAnsi="宋体" w:cs="宋体"/>
                <w:szCs w:val="21"/>
              </w:rPr>
              <w:t>绩评定</w:t>
            </w:r>
          </w:p>
        </w:tc>
        <w:tc>
          <w:tcPr>
            <w:tcW w:w="7704"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306"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成绩评定采用过程评定和结果评定相结合、平时与期末考核相结合的方式，其中平时为30%，内容包括学生上课出勤率、课堂表现、课后作业等；实训过程与结果评定各占总成绩的20%，期末笔试占总成绩的30%</w:t>
            </w:r>
            <w:r>
              <w:rPr>
                <w:rFonts w:hint="eastAsia" w:asciiTheme="minorEastAsia" w:hAnsiTheme="minorEastAsia" w:cstheme="minorEastAsia"/>
                <w:bCs/>
                <w:color w:val="000000"/>
                <w:szCs w:val="21"/>
              </w:rPr>
              <w:t>。</w:t>
            </w:r>
          </w:p>
        </w:tc>
      </w:tr>
    </w:tbl>
    <w:p>
      <w:pPr>
        <w:spacing w:line="440" w:lineRule="exact"/>
        <w:ind w:firstLine="482" w:firstLineChars="200"/>
        <w:rPr>
          <w:rFonts w:ascii="黑体" w:hAnsi="黑体" w:eastAsia="黑体" w:cstheme="minorEastAsia"/>
          <w:b/>
          <w:sz w:val="24"/>
          <w:szCs w:val="22"/>
        </w:rPr>
      </w:pPr>
      <w:r>
        <w:rPr>
          <w:rFonts w:hint="eastAsia" w:ascii="黑体" w:hAnsi="黑体" w:eastAsia="黑体" w:cstheme="minorEastAsia"/>
          <w:b/>
          <w:sz w:val="24"/>
        </w:rPr>
        <w:t>5、消费心理理论与实务（72学时，B类课程，课程负责人：李婷）</w:t>
      </w:r>
    </w:p>
    <w:tbl>
      <w:tblPr>
        <w:tblStyle w:val="1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137"/>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课程目标</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pStyle w:val="9"/>
              <w:shd w:val="clear" w:color="auto" w:fill="FFFFFF"/>
              <w:adjustRightInd w:val="0"/>
              <w:spacing w:line="254" w:lineRule="exact"/>
              <w:ind w:firstLine="344" w:firstLineChars="164"/>
              <w:rPr>
                <w:rFonts w:asciiTheme="minorEastAsia" w:hAnsiTheme="minorEastAsia" w:eastAsiaTheme="minorEastAsia" w:cstheme="minorEastAsia"/>
                <w:sz w:val="21"/>
                <w:szCs w:val="21"/>
              </w:rPr>
            </w:pPr>
            <w:r>
              <w:rPr>
                <w:rFonts w:hint="eastAsia" w:asciiTheme="minorEastAsia" w:hAnsiTheme="minorEastAsia" w:cstheme="minorEastAsia"/>
                <w:sz w:val="21"/>
                <w:szCs w:val="21"/>
              </w:rPr>
              <w:t>让学生步入消费者心理世界，学会分析不同消费者心理从心理学角度对一些消费者的行为进行分析，帮助学生掌握最新心理学行销方法。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21" w:type="dxa"/>
            <w:vMerge w:val="restart"/>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w:t>
            </w:r>
          </w:p>
          <w:p>
            <w:pPr>
              <w:spacing w:line="254" w:lineRule="exact"/>
              <w:jc w:val="center"/>
              <w:rPr>
                <w:rFonts w:ascii="方正黑体简体" w:hAnsi="方正黑体简体" w:eastAsia="方正黑体简体" w:cs="方正黑体简体"/>
                <w:szCs w:val="21"/>
              </w:rPr>
            </w:pPr>
          </w:p>
          <w:p>
            <w:pPr>
              <w:spacing w:line="254"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spacing w:line="254" w:lineRule="exact"/>
              <w:jc w:val="center"/>
              <w:rPr>
                <w:rFonts w:ascii="方正黑体简体" w:hAnsi="方正黑体简体" w:eastAsia="方正黑体简体" w:cs="方正黑体简体"/>
                <w:szCs w:val="21"/>
              </w:rPr>
            </w:pPr>
          </w:p>
          <w:p>
            <w:pPr>
              <w:spacing w:line="254" w:lineRule="exact"/>
              <w:jc w:val="center"/>
              <w:rPr>
                <w:rFonts w:ascii="方正黑体简体" w:hAnsi="方正黑体简体" w:eastAsia="方正黑体简体" w:cs="方正黑体简体"/>
                <w:szCs w:val="21"/>
              </w:rPr>
            </w:pPr>
            <w:r>
              <w:rPr>
                <w:rFonts w:hint="eastAsia" w:ascii="宋体" w:hAnsi="宋体" w:cs="宋体"/>
                <w:szCs w:val="21"/>
              </w:rPr>
              <w:t>内</w:t>
            </w:r>
          </w:p>
          <w:p>
            <w:pPr>
              <w:spacing w:line="254" w:lineRule="exact"/>
              <w:jc w:val="center"/>
              <w:rPr>
                <w:rFonts w:ascii="方正黑体简体" w:hAnsi="方正黑体简体" w:eastAsia="方正黑体简体" w:cs="方正黑体简体"/>
                <w:szCs w:val="21"/>
              </w:rPr>
            </w:pPr>
          </w:p>
          <w:p>
            <w:pPr>
              <w:spacing w:line="254" w:lineRule="exact"/>
              <w:jc w:val="center"/>
              <w:rPr>
                <w:rFonts w:ascii="方正黑体简体" w:hAnsi="方正黑体简体" w:eastAsia="方正黑体简体" w:cs="方正黑体简体"/>
                <w:szCs w:val="21"/>
              </w:rPr>
            </w:pPr>
            <w:r>
              <w:rPr>
                <w:rFonts w:hint="eastAsia" w:ascii="宋体" w:hAnsi="宋体" w:cs="宋体"/>
                <w:szCs w:val="21"/>
              </w:rPr>
              <w:t>容</w:t>
            </w: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项    目</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工  作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eastAsia="微软雅黑" w:asciiTheme="minorEastAsia" w:hAnsiTheme="minorEastAsia" w:cstheme="minorEastAsia"/>
                <w:szCs w:val="21"/>
              </w:rPr>
            </w:pPr>
            <w:r>
              <w:rPr>
                <w:rFonts w:hint="eastAsia" w:asciiTheme="minorEastAsia" w:hAnsiTheme="minorEastAsia" w:cstheme="minorEastAsia"/>
                <w:szCs w:val="21"/>
              </w:rPr>
              <w:t>项目一</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认识消费者的心理现象</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1.理解感（知）觉、注意、记忆、思维、想象、思维、情感、意志、个性、能力、气质、性格的含义及特征，其在营销活动中的作用；</w:t>
            </w:r>
          </w:p>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2.认识消费者的心理现象对购买行为的影响。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项目二</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消费者购买行为心理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1.能分析购买行为类型、特点与购买行为过程；</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2.能知道购买决策内容和影响因素。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项目三</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影响消费者购买行为的环境因素</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1.通过对案例的分析，能认识不同社会阶层的消费行为差异；</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2.认识参照群体、消费流行、消费习惯、社会文化对消费者行为的影响；</w:t>
            </w:r>
          </w:p>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color w:val="000000"/>
                <w:szCs w:val="21"/>
              </w:rPr>
              <w:t>3.熟悉营销场景因素对消费者的影响并能营造良好营销场景。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firstLine="630" w:firstLineChars="300"/>
              <w:rPr>
                <w:rFonts w:asciiTheme="minorEastAsia" w:hAnsiTheme="minorEastAsia" w:cstheme="minorEastAsia"/>
                <w:szCs w:val="21"/>
              </w:rPr>
            </w:pPr>
            <w:r>
              <w:rPr>
                <w:rFonts w:hint="eastAsia" w:asciiTheme="minorEastAsia" w:hAnsiTheme="minorEastAsia" w:cstheme="minorEastAsia"/>
                <w:szCs w:val="21"/>
              </w:rPr>
              <w:t>项目四</w:t>
            </w:r>
          </w:p>
          <w:p>
            <w:pPr>
              <w:spacing w:line="254" w:lineRule="exact"/>
              <w:rPr>
                <w:rFonts w:asciiTheme="minorEastAsia" w:hAnsiTheme="minorEastAsia" w:cstheme="minorEastAsia"/>
                <w:szCs w:val="21"/>
              </w:rPr>
            </w:pPr>
            <w:r>
              <w:rPr>
                <w:rFonts w:hint="eastAsia" w:asciiTheme="minorEastAsia" w:hAnsiTheme="minorEastAsia" w:cstheme="minorEastAsia"/>
                <w:color w:val="000000"/>
                <w:szCs w:val="21"/>
              </w:rPr>
              <w:t>新商品设计心理</w:t>
            </w:r>
          </w:p>
          <w:p>
            <w:pPr>
              <w:spacing w:line="254" w:lineRule="exact"/>
              <w:rPr>
                <w:rFonts w:asciiTheme="minorEastAsia" w:hAnsiTheme="minorEastAsia" w:cstheme="minorEastAsia"/>
                <w:szCs w:val="21"/>
              </w:rPr>
            </w:pP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1.了解消费者对新商品的心理要求，掌握新产品开发心理要求及策略；</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2.能运用新商品设计的心理策略解决实际问题。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项目五</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商品命名的心理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1.明确商品命名心理功能，掌握商品命名心理策略；</w:t>
            </w:r>
          </w:p>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color w:val="000000"/>
                <w:szCs w:val="21"/>
              </w:rPr>
              <w:t>2.能正确运用商品命名心理策略解决实际问题。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项目六</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商标设计心理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color w:val="000000"/>
                <w:szCs w:val="21"/>
              </w:rPr>
              <w:t>明确商标的心理功能，掌握商标设计心理策略；</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szCs w:val="21"/>
              </w:rPr>
              <w:t>2.</w:t>
            </w:r>
            <w:r>
              <w:rPr>
                <w:rFonts w:hint="eastAsia" w:asciiTheme="minorEastAsia" w:hAnsiTheme="minorEastAsia" w:cstheme="minorEastAsia"/>
                <w:color w:val="000000"/>
                <w:szCs w:val="21"/>
              </w:rPr>
              <w:t>能正确运用商标心理策略解决实际问题。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项目七</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商品包装心理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1.明确商品包装心理功能、包装设计心理要求，掌握包装设计心理策略；</w:t>
            </w:r>
          </w:p>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color w:val="000000"/>
                <w:szCs w:val="21"/>
              </w:rPr>
              <w:t>2.能正确运用商品包装心理策略解决实际问题.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项目八</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定价心理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1.明确商品价格心理功能、消费者价格心理，掌握定价心理策略；</w:t>
            </w:r>
          </w:p>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color w:val="000000"/>
                <w:szCs w:val="21"/>
              </w:rPr>
              <w:t>2.能运用商品定价心理策略为商品定价，解决实际问题。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项目九</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调价心理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1.明确价格变动与消费者的心理行为反应，掌握商品降价、提价的心理策略；</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2.能运用商品降价、提价的心理策略为商品调价。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项目十</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广告心理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1.了解广告的心理功能，掌握如何运用报纸与杂志等媒体进行广告设计应采取的心理策略，熟悉广告心理效果测定的测定方法；</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2.能正确运用报纸与杂志等媒体进行广告设计应采取的心理策略，能掌握广告心理效果测定的测定方法。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项目十一</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人员推销心理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1.明确推销员的职能心理，掌握推销心理策略，懂得推销员应具备心理素质及训练方法；</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2.能运用推销心理策略为某商品进行推销策划，能提高推销员心理素质。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ascii="方正黑体简体" w:hAnsi="方正黑体简体" w:eastAsia="方正黑体简体" w:cs="方正黑体简体"/>
                <w:sz w:val="22"/>
                <w:szCs w:val="21"/>
              </w:rPr>
            </w:pPr>
          </w:p>
        </w:tc>
        <w:tc>
          <w:tcPr>
            <w:tcW w:w="2137"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Theme="minorEastAsia" w:hAnsiTheme="minorEastAsia" w:cstheme="minorEastAsia"/>
                <w:szCs w:val="21"/>
              </w:rPr>
            </w:pPr>
            <w:r>
              <w:rPr>
                <w:rFonts w:hint="eastAsia" w:asciiTheme="minorEastAsia" w:hAnsiTheme="minorEastAsia" w:cstheme="minorEastAsia"/>
                <w:szCs w:val="21"/>
              </w:rPr>
              <w:t>项目十二</w:t>
            </w:r>
          </w:p>
          <w:p>
            <w:pPr>
              <w:spacing w:line="254" w:lineRule="exact"/>
              <w:jc w:val="center"/>
              <w:rPr>
                <w:rFonts w:asciiTheme="minorEastAsia" w:hAnsiTheme="minorEastAsia" w:cstheme="minorEastAsia"/>
                <w:szCs w:val="21"/>
              </w:rPr>
            </w:pPr>
            <w:r>
              <w:rPr>
                <w:rFonts w:hint="eastAsia" w:asciiTheme="minorEastAsia" w:hAnsiTheme="minorEastAsia" w:cstheme="minorEastAsia"/>
                <w:color w:val="000000"/>
                <w:szCs w:val="21"/>
              </w:rPr>
              <w:t>营业推广心理</w:t>
            </w:r>
          </w:p>
        </w:tc>
        <w:tc>
          <w:tcPr>
            <w:tcW w:w="5573"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1.熟悉不同推广对象营业推广心理，掌握营业推广方式的组织、实施和评估的心理策略；</w:t>
            </w:r>
          </w:p>
          <w:p>
            <w:pPr>
              <w:spacing w:line="254" w:lineRule="exact"/>
              <w:ind w:left="210" w:hanging="210" w:hangingChars="100"/>
              <w:rPr>
                <w:rFonts w:asciiTheme="minorEastAsia" w:hAnsiTheme="minorEastAsia" w:cstheme="minorEastAsia"/>
                <w:color w:val="000000"/>
                <w:szCs w:val="21"/>
              </w:rPr>
            </w:pPr>
            <w:r>
              <w:rPr>
                <w:rFonts w:hint="eastAsia" w:asciiTheme="minorEastAsia" w:hAnsiTheme="minorEastAsia" w:cstheme="minorEastAsia"/>
                <w:color w:val="000000"/>
                <w:szCs w:val="21"/>
              </w:rPr>
              <w:t>2.能根据营业推广方式的组织、实施和评估的心理策略进行实际营业推广策划。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建</w:t>
            </w:r>
            <w:r>
              <w:rPr>
                <w:rFonts w:hint="eastAsia" w:ascii="___WRD_EMBED_SUB_51" w:hAnsi="___WRD_EMBED_SUB_51" w:eastAsia="___WRD_EMBED_SUB_51" w:cs="___WRD_EMBED_SUB_51"/>
                <w:szCs w:val="21"/>
              </w:rPr>
              <w:t>议</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项目导向，团队协作，实施案例教学，环境模拟，引导学生自主性学习，研究性学习，做到做学合一。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环境</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充分利用多现代教学手段、模拟营销环境，提高学生学习积极性，让学生做中学，学中做，实行理论与实践对接。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成</w:t>
            </w:r>
            <w:r>
              <w:rPr>
                <w:rFonts w:hint="eastAsia" w:ascii="宋体" w:hAnsi="宋体" w:cs="宋体"/>
                <w:szCs w:val="21"/>
              </w:rPr>
              <w:t>绩评定</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spacing w:line="254" w:lineRule="exact"/>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成绩评定采用过程评定和结果评定相结合、平时与期末考核相结合的方式，其中平时为30%，内容包括学生上课出勤率、课堂表现、课后作业等；实训过程与结果评定各占总成绩的20%，期末笔试占总成绩的30%</w:t>
            </w:r>
            <w:r>
              <w:rPr>
                <w:rFonts w:hint="eastAsia" w:asciiTheme="minorEastAsia" w:hAnsiTheme="minorEastAsia" w:cstheme="minorEastAsia"/>
                <w:bCs/>
                <w:color w:val="000000"/>
                <w:szCs w:val="21"/>
              </w:rPr>
              <w:t>。</w:t>
            </w:r>
          </w:p>
        </w:tc>
      </w:tr>
    </w:tbl>
    <w:p>
      <w:pPr>
        <w:spacing w:line="440" w:lineRule="exact"/>
        <w:ind w:left="420" w:leftChars="200"/>
        <w:rPr>
          <w:rFonts w:ascii="黑体" w:hAnsi="黑体" w:eastAsia="黑体" w:cstheme="minorEastAsia"/>
          <w:b/>
          <w:sz w:val="24"/>
          <w:szCs w:val="22"/>
        </w:rPr>
      </w:pPr>
      <w:r>
        <w:rPr>
          <w:rFonts w:hint="eastAsia" w:ascii="黑体" w:hAnsi="黑体" w:eastAsia="黑体" w:cstheme="minorEastAsia"/>
          <w:b/>
          <w:sz w:val="24"/>
        </w:rPr>
        <w:t>6、网络营销实务（72学时，B类课程，课程负责人：胡梦娟）</w:t>
      </w:r>
    </w:p>
    <w:tbl>
      <w:tblPr>
        <w:tblStyle w:val="11"/>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12"/>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 w:val="22"/>
                <w:szCs w:val="21"/>
              </w:rPr>
            </w:pPr>
            <w:r>
              <w:rPr>
                <w:rFonts w:hint="eastAsia" w:ascii="方正黑体简体" w:hAnsi="方正黑体简体" w:eastAsia="方正黑体简体" w:cs="方正黑体简体"/>
                <w:szCs w:val="21"/>
              </w:rPr>
              <w:t>课程目标</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firstLine="420" w:firstLineChars="200"/>
              <w:rPr>
                <w:rFonts w:eastAsia="微软雅黑" w:asciiTheme="minorEastAsia" w:hAnsiTheme="minorEastAsia" w:cstheme="minorEastAsia"/>
                <w:szCs w:val="21"/>
              </w:rPr>
            </w:pPr>
            <w:r>
              <w:rPr>
                <w:rFonts w:hint="eastAsia" w:asciiTheme="minorEastAsia" w:hAnsiTheme="minorEastAsia" w:cstheme="minorEastAsia"/>
                <w:color w:val="000000"/>
                <w:szCs w:val="21"/>
              </w:rPr>
              <w:t>通过本课程的学习，使学生掌握网络营销与策划的基本原理、基本研究方法和基本技能，提高学生的职业实践能力，掌握基本的网络营销品牌策略，能进行网络分销渠道的管理，能独立开展网络营销工作。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1" w:type="dxa"/>
            <w:vMerge w:val="restart"/>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课</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程</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宋体" w:hAnsi="宋体" w:cs="宋体"/>
                <w:szCs w:val="21"/>
              </w:rPr>
              <w:t>内</w:t>
            </w:r>
          </w:p>
          <w:p>
            <w:pPr>
              <w:jc w:val="center"/>
              <w:rPr>
                <w:rFonts w:ascii="方正黑体简体" w:hAnsi="方正黑体简体" w:eastAsia="方正黑体简体" w:cs="方正黑体简体"/>
                <w:szCs w:val="21"/>
              </w:rPr>
            </w:pPr>
          </w:p>
          <w:p>
            <w:pPr>
              <w:jc w:val="center"/>
              <w:rPr>
                <w:rFonts w:ascii="方正黑体简体" w:hAnsi="方正黑体简体" w:eastAsia="方正黑体简体" w:cs="方正黑体简体"/>
                <w:szCs w:val="21"/>
              </w:rPr>
            </w:pPr>
            <w:r>
              <w:rPr>
                <w:rFonts w:hint="eastAsia" w:ascii="宋体" w:hAnsi="宋体" w:cs="宋体"/>
                <w:szCs w:val="21"/>
              </w:rPr>
              <w:t>容</w:t>
            </w:r>
          </w:p>
          <w:p>
            <w:pPr>
              <w:jc w:val="center"/>
              <w:rPr>
                <w:rFonts w:eastAsia="微软雅黑" w:asciiTheme="minorEastAsia" w:hAnsiTheme="minorEastAsia" w:cstheme="minorEastAsia"/>
                <w:szCs w:val="21"/>
              </w:rPr>
            </w:pPr>
            <w:r>
              <w:rPr>
                <w:rFonts w:hint="eastAsia" w:asciiTheme="minorEastAsia" w:hAnsiTheme="minorEastAsia" w:cstheme="minorEastAsia"/>
                <w:szCs w:val="21"/>
              </w:rPr>
              <w:t xml:space="preserve"> </w:t>
            </w: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项    目</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工  作  任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eastAsia="微软雅黑" w:asciiTheme="minorEastAsia" w:hAnsiTheme="minorEastAsia" w:cstheme="minorEastAsia"/>
                <w:szCs w:val="21"/>
              </w:rPr>
            </w:pPr>
            <w:r>
              <w:rPr>
                <w:rFonts w:hint="eastAsia" w:asciiTheme="minorEastAsia" w:hAnsiTheme="minorEastAsia" w:cstheme="minorEastAsia"/>
                <w:szCs w:val="21"/>
              </w:rPr>
              <w:t>项目一</w:t>
            </w:r>
          </w:p>
          <w:p>
            <w:pPr>
              <w:jc w:val="center"/>
              <w:rPr>
                <w:rFonts w:asciiTheme="minorEastAsia" w:hAnsiTheme="minorEastAsia" w:cstheme="minorEastAsia"/>
                <w:szCs w:val="21"/>
              </w:rPr>
            </w:pPr>
            <w:r>
              <w:rPr>
                <w:rFonts w:hint="eastAsia" w:asciiTheme="minorEastAsia" w:hAnsiTheme="minorEastAsia" w:cstheme="minorEastAsia"/>
                <w:szCs w:val="21"/>
              </w:rPr>
              <w:t>网络营销概述</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1.了解网络营销的概念；</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2.掌握网络营销的机遇与挑战；</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3.掌握网络营销功能定位。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项目二</w:t>
            </w:r>
          </w:p>
          <w:p>
            <w:pPr>
              <w:jc w:val="center"/>
              <w:rPr>
                <w:rFonts w:asciiTheme="minorEastAsia" w:hAnsiTheme="minorEastAsia" w:cstheme="minorEastAsia"/>
                <w:szCs w:val="21"/>
              </w:rPr>
            </w:pPr>
            <w:r>
              <w:rPr>
                <w:rFonts w:hint="eastAsia" w:asciiTheme="minorEastAsia" w:hAnsiTheme="minorEastAsia" w:cstheme="minorEastAsia"/>
                <w:szCs w:val="21"/>
              </w:rPr>
              <w:t>网络营销数据</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1.理解网络营销数据库数据的来源和作用；</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2.掌握数据分析方法；</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3.掌握数据报告的撰写。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项目三</w:t>
            </w:r>
          </w:p>
          <w:p>
            <w:pPr>
              <w:jc w:val="center"/>
              <w:rPr>
                <w:rFonts w:asciiTheme="minorEastAsia" w:hAnsiTheme="minorEastAsia" w:cstheme="minorEastAsia"/>
                <w:szCs w:val="21"/>
              </w:rPr>
            </w:pPr>
            <w:r>
              <w:rPr>
                <w:rFonts w:hint="eastAsia" w:asciiTheme="minorEastAsia" w:hAnsiTheme="minorEastAsia" w:cstheme="minorEastAsia"/>
                <w:szCs w:val="21"/>
              </w:rPr>
              <w:t>企业网络营销行为</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1.了解传统企业互联网思维的转变；</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2.掌握网络营销团队的组建和企业线上线下资源的整合。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项目四</w:t>
            </w:r>
          </w:p>
          <w:p>
            <w:pPr>
              <w:jc w:val="center"/>
              <w:rPr>
                <w:rFonts w:asciiTheme="minorEastAsia" w:hAnsiTheme="minorEastAsia" w:cstheme="minorEastAsia"/>
                <w:szCs w:val="21"/>
              </w:rPr>
            </w:pPr>
            <w:r>
              <w:rPr>
                <w:rFonts w:hint="eastAsia" w:asciiTheme="minorEastAsia" w:hAnsiTheme="minorEastAsia" w:cstheme="minorEastAsia"/>
                <w:szCs w:val="21"/>
              </w:rPr>
              <w:t>网络营销方法</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1.了解IM营销的使用环境；</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2.理解电子邮件资源的获取方式和途径；</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3.理解影响邮件阅读率的因素；</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4.掌握博客内容的写作技巧；</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5.微博营销技巧分析；</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6.了解论坛营销维护与管理。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项目五</w:t>
            </w:r>
          </w:p>
          <w:p>
            <w:pPr>
              <w:jc w:val="center"/>
              <w:rPr>
                <w:rFonts w:asciiTheme="minorEastAsia" w:hAnsiTheme="minorEastAsia" w:cstheme="minorEastAsia"/>
                <w:szCs w:val="21"/>
              </w:rPr>
            </w:pPr>
            <w:r>
              <w:rPr>
                <w:rFonts w:hint="eastAsia" w:asciiTheme="minorEastAsia" w:hAnsiTheme="minorEastAsia" w:cstheme="minorEastAsia"/>
                <w:szCs w:val="21"/>
              </w:rPr>
              <w:t>企业网站推广</w:t>
            </w:r>
          </w:p>
          <w:p>
            <w:pPr>
              <w:jc w:val="center"/>
              <w:rPr>
                <w:rFonts w:asciiTheme="minorEastAsia" w:hAnsiTheme="minorEastAsia" w:cstheme="minorEastAsia"/>
                <w:szCs w:val="21"/>
              </w:rPr>
            </w:pP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1.理解怎样进行企业网站的定位；</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2.理解怎样运用指标评价企业网站推广行为；</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3.掌握网站搜索引擎优化分析；</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4.掌握网站搜索引擎排名提高的技术要点。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项目六</w:t>
            </w:r>
          </w:p>
          <w:p>
            <w:pPr>
              <w:jc w:val="center"/>
              <w:rPr>
                <w:rFonts w:asciiTheme="minorEastAsia" w:hAnsiTheme="minorEastAsia" w:cstheme="minorEastAsia"/>
                <w:szCs w:val="21"/>
              </w:rPr>
            </w:pPr>
            <w:r>
              <w:rPr>
                <w:rFonts w:hint="eastAsia" w:asciiTheme="minorEastAsia" w:hAnsiTheme="minorEastAsia" w:cstheme="minorEastAsia"/>
                <w:szCs w:val="21"/>
              </w:rPr>
              <w:t>网络营销品牌策略</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1.了解如何进行品牌定位；</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2.掌握如何进行网络品牌的塑造；</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3.了解如何进行网络品牌管理。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项目七</w:t>
            </w:r>
          </w:p>
          <w:p>
            <w:pPr>
              <w:jc w:val="center"/>
              <w:rPr>
                <w:rFonts w:asciiTheme="minorEastAsia" w:hAnsiTheme="minorEastAsia" w:cstheme="minorEastAsia"/>
                <w:szCs w:val="21"/>
              </w:rPr>
            </w:pPr>
            <w:r>
              <w:rPr>
                <w:rFonts w:hint="eastAsia" w:asciiTheme="minorEastAsia" w:hAnsiTheme="minorEastAsia" w:cstheme="minorEastAsia"/>
                <w:szCs w:val="21"/>
              </w:rPr>
              <w:t>网络分销渠道</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1.掌握网络分销渠道功能定位；</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2.掌握网络分销渠道的纵深控制；</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3.掌握网络分销商的考察和产品分析。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项目八</w:t>
            </w:r>
          </w:p>
          <w:p>
            <w:pPr>
              <w:jc w:val="center"/>
              <w:rPr>
                <w:rFonts w:asciiTheme="minorEastAsia" w:hAnsiTheme="minorEastAsia" w:cstheme="minorEastAsia"/>
                <w:szCs w:val="21"/>
              </w:rPr>
            </w:pPr>
            <w:r>
              <w:rPr>
                <w:rFonts w:hint="eastAsia" w:asciiTheme="minorEastAsia" w:hAnsiTheme="minorEastAsia" w:cstheme="minorEastAsia"/>
                <w:szCs w:val="21"/>
              </w:rPr>
              <w:t>网络营销客户关系管理</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1.掌握如何进行客户开发；</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2.了解如何培育客户忠诚度；</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3.掌握怎样运用大数据分析客户数据。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项目九</w:t>
            </w:r>
          </w:p>
          <w:p>
            <w:pPr>
              <w:jc w:val="center"/>
              <w:rPr>
                <w:rFonts w:asciiTheme="minorEastAsia" w:hAnsiTheme="minorEastAsia" w:cstheme="minorEastAsia"/>
                <w:szCs w:val="21"/>
              </w:rPr>
            </w:pPr>
            <w:r>
              <w:rPr>
                <w:rFonts w:hint="eastAsia" w:asciiTheme="minorEastAsia" w:hAnsiTheme="minorEastAsia" w:cstheme="minorEastAsia"/>
                <w:szCs w:val="21"/>
              </w:rPr>
              <w:t>网络应营销服务沟通策略</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1.具有个性化服务的诊断和分析能力；</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2.基本掌握口碑营销与危机公关的关系。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项目十</w:t>
            </w:r>
          </w:p>
          <w:p>
            <w:pPr>
              <w:jc w:val="center"/>
              <w:rPr>
                <w:rFonts w:asciiTheme="minorEastAsia" w:hAnsiTheme="minorEastAsia" w:cstheme="minorEastAsia"/>
                <w:szCs w:val="21"/>
              </w:rPr>
            </w:pPr>
            <w:r>
              <w:rPr>
                <w:rFonts w:hint="eastAsia" w:asciiTheme="minorEastAsia" w:hAnsiTheme="minorEastAsia" w:cstheme="minorEastAsia"/>
                <w:szCs w:val="21"/>
              </w:rPr>
              <w:t>网络会员制营销</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1.了解网络会员制效果测评方法；</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2.了解网络会员制营销方法；</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3.掌握新产品开发与推广策略的主要内容，学会新产品的推广与扩散的实践方法；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21" w:type="dxa"/>
            <w:vMerge w:val="continue"/>
            <w:tcBorders>
              <w:top w:val="single" w:color="auto" w:sz="4" w:space="0"/>
              <w:left w:val="single" w:color="auto" w:sz="4" w:space="0"/>
              <w:bottom w:val="single" w:color="auto" w:sz="4" w:space="0"/>
              <w:right w:val="single" w:color="auto" w:sz="4" w:space="0"/>
            </w:tcBorders>
            <w:vAlign w:val="center"/>
          </w:tcPr>
          <w:p>
            <w:pPr>
              <w:rPr>
                <w:rFonts w:eastAsia="微软雅黑" w:asciiTheme="minorEastAsia" w:hAnsiTheme="minorEastAsia" w:cstheme="minorEastAsia"/>
                <w:sz w:val="22"/>
                <w:szCs w:val="21"/>
              </w:rPr>
            </w:pPr>
          </w:p>
        </w:tc>
        <w:tc>
          <w:tcPr>
            <w:tcW w:w="2512"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项目十一</w:t>
            </w:r>
          </w:p>
          <w:p>
            <w:pPr>
              <w:jc w:val="center"/>
              <w:rPr>
                <w:rFonts w:asciiTheme="minorEastAsia" w:hAnsiTheme="minorEastAsia" w:cstheme="minorEastAsia"/>
                <w:szCs w:val="21"/>
              </w:rPr>
            </w:pPr>
            <w:r>
              <w:rPr>
                <w:rFonts w:hint="eastAsia" w:asciiTheme="minorEastAsia" w:hAnsiTheme="minorEastAsia" w:cstheme="minorEastAsia"/>
                <w:szCs w:val="21"/>
              </w:rPr>
              <w:t>移动端网络营销</w:t>
            </w:r>
          </w:p>
        </w:tc>
        <w:tc>
          <w:tcPr>
            <w:tcW w:w="5198"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1.了解移动端营销的市场意义及运用；</w:t>
            </w:r>
          </w:p>
          <w:p>
            <w:pPr>
              <w:ind w:left="210" w:hanging="210" w:hangingChars="100"/>
              <w:rPr>
                <w:rFonts w:asciiTheme="minorEastAsia" w:hAnsiTheme="minorEastAsia" w:cstheme="minorEastAsia"/>
                <w:szCs w:val="21"/>
              </w:rPr>
            </w:pPr>
            <w:r>
              <w:rPr>
                <w:rFonts w:hint="eastAsia" w:asciiTheme="minorEastAsia" w:hAnsiTheme="minorEastAsia" w:cstheme="minorEastAsia"/>
                <w:szCs w:val="21"/>
              </w:rPr>
              <w:t>2.熟悉移动端营销的优缺点分析方法。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建</w:t>
            </w:r>
            <w:r>
              <w:rPr>
                <w:rFonts w:hint="eastAsia" w:ascii="___WRD_EMBED_SUB_51" w:hAnsi="___WRD_EMBED_SUB_51" w:eastAsia="___WRD_EMBED_SUB_51" w:cs="___WRD_EMBED_SUB_51"/>
                <w:szCs w:val="21"/>
              </w:rPr>
              <w:t>议</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项目导向，团队协作，实施案例教学，环境模拟，引导学生自主性学习，研究性学习，做到做学合一。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教学</w:t>
            </w:r>
            <w:r>
              <w:rPr>
                <w:rFonts w:hint="eastAsia" w:ascii="宋体" w:hAnsi="宋体" w:cs="宋体"/>
                <w:szCs w:val="21"/>
              </w:rPr>
              <w:t>环境</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充分利用多现代教学手段、模拟营销环境，提高学生学习积极性，充分利用校内外实训基地，让学生做中学，学中做，实行理论与实践、与具体工作岗位对接。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jc w:val="center"/>
              <w:rPr>
                <w:rFonts w:ascii="方正黑体简体" w:hAnsi="方正黑体简体" w:eastAsia="方正黑体简体" w:cs="方正黑体简体"/>
                <w:szCs w:val="21"/>
              </w:rPr>
            </w:pPr>
            <w:r>
              <w:rPr>
                <w:rFonts w:hint="eastAsia" w:ascii="方正黑体简体" w:hAnsi="方正黑体简体" w:eastAsia="方正黑体简体" w:cs="方正黑体简体"/>
                <w:szCs w:val="21"/>
              </w:rPr>
              <w:t>成</w:t>
            </w:r>
            <w:r>
              <w:rPr>
                <w:rFonts w:hint="eastAsia" w:ascii="宋体" w:hAnsi="宋体" w:cs="宋体"/>
                <w:szCs w:val="21"/>
              </w:rPr>
              <w:t>绩评定</w:t>
            </w:r>
          </w:p>
        </w:tc>
        <w:tc>
          <w:tcPr>
            <w:tcW w:w="7710" w:type="dxa"/>
            <w:gridSpan w:val="2"/>
            <w:tcBorders>
              <w:top w:val="single" w:color="auto" w:sz="4" w:space="0"/>
              <w:left w:val="single" w:color="auto" w:sz="4" w:space="0"/>
              <w:bottom w:val="single" w:color="auto" w:sz="4" w:space="0"/>
              <w:right w:val="single" w:color="auto" w:sz="4" w:space="0"/>
            </w:tcBorders>
            <w:tcMar>
              <w:top w:w="6" w:type="dxa"/>
              <w:left w:w="28" w:type="dxa"/>
              <w:bottom w:w="6" w:type="dxa"/>
              <w:right w:w="28" w:type="dxa"/>
            </w:tcMar>
            <w:vAlign w:val="center"/>
          </w:tcPr>
          <w:p>
            <w:pPr>
              <w:ind w:firstLine="420" w:firstLineChars="200"/>
              <w:rPr>
                <w:rFonts w:eastAsia="微软雅黑" w:asciiTheme="minorEastAsia" w:hAnsiTheme="minorEastAsia" w:cstheme="minorEastAsia"/>
                <w:szCs w:val="21"/>
              </w:rPr>
            </w:pPr>
            <w:r>
              <w:rPr>
                <w:rFonts w:hint="eastAsia" w:asciiTheme="minorEastAsia" w:hAnsiTheme="minorEastAsia" w:cstheme="minorEastAsia"/>
                <w:szCs w:val="21"/>
              </w:rPr>
              <w:t>成绩评定采用过程评定和结果评定相结合、平时与期末考核相结合的方式，其中平时为30%，内容包括学生上课出勤率、课堂表现、课后作业等；实训过程与结果评定各占总成绩的20%，期末笔试占总成绩的30%</w:t>
            </w:r>
            <w:r>
              <w:rPr>
                <w:rFonts w:hint="eastAsia" w:asciiTheme="minorEastAsia" w:hAnsiTheme="minorEastAsia" w:cstheme="minorEastAsia"/>
                <w:bCs/>
                <w:color w:val="000000"/>
                <w:szCs w:val="21"/>
              </w:rPr>
              <w:t>。</w:t>
            </w:r>
          </w:p>
        </w:tc>
      </w:tr>
    </w:tbl>
    <w:p>
      <w:p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九、实施保障</w:t>
      </w:r>
    </w:p>
    <w:p>
      <w:pPr>
        <w:overflowPunct w:val="0"/>
        <w:spacing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（一）师资队伍</w:t>
      </w:r>
    </w:p>
    <w:tbl>
      <w:tblPr>
        <w:tblStyle w:val="1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910"/>
        <w:gridCol w:w="785"/>
        <w:gridCol w:w="1159"/>
        <w:gridCol w:w="1600"/>
        <w:gridCol w:w="2911"/>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62"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教师</w:t>
            </w:r>
          </w:p>
          <w:p>
            <w:pPr>
              <w:spacing w:line="260" w:lineRule="exact"/>
              <w:jc w:val="center"/>
              <w:rPr>
                <w:rFonts w:ascii="宋体" w:hAnsi="宋体"/>
                <w:b/>
                <w:bCs/>
                <w:color w:val="000000"/>
                <w:szCs w:val="21"/>
              </w:rPr>
            </w:pPr>
            <w:r>
              <w:rPr>
                <w:rFonts w:hint="eastAsia" w:ascii="宋体" w:hAnsi="宋体"/>
                <w:b/>
                <w:bCs/>
                <w:color w:val="000000"/>
                <w:szCs w:val="21"/>
              </w:rPr>
              <w:t>类型</w:t>
            </w:r>
          </w:p>
        </w:tc>
        <w:tc>
          <w:tcPr>
            <w:tcW w:w="910"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姓名</w:t>
            </w:r>
          </w:p>
        </w:tc>
        <w:tc>
          <w:tcPr>
            <w:tcW w:w="785"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年龄</w:t>
            </w:r>
          </w:p>
        </w:tc>
        <w:tc>
          <w:tcPr>
            <w:tcW w:w="1159"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职称</w:t>
            </w:r>
          </w:p>
        </w:tc>
        <w:tc>
          <w:tcPr>
            <w:tcW w:w="1600"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学历学位</w:t>
            </w:r>
          </w:p>
        </w:tc>
        <w:tc>
          <w:tcPr>
            <w:tcW w:w="2911"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主讲课程</w:t>
            </w:r>
          </w:p>
        </w:tc>
        <w:tc>
          <w:tcPr>
            <w:tcW w:w="845"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是否双师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Merge w:val="restart"/>
            <w:shd w:val="clear" w:color="auto" w:fill="auto"/>
            <w:vAlign w:val="center"/>
          </w:tcPr>
          <w:p>
            <w:pPr>
              <w:overflowPunct w:val="0"/>
              <w:adjustRightInd w:val="0"/>
              <w:snapToGrid w:val="0"/>
              <w:spacing w:line="300" w:lineRule="exact"/>
              <w:outlineLvl w:val="0"/>
              <w:rPr>
                <w:rFonts w:ascii="宋体" w:hAnsi="宋体" w:cs="宋体"/>
                <w:color w:val="000000"/>
                <w:szCs w:val="21"/>
              </w:rPr>
            </w:pPr>
            <w:r>
              <w:rPr>
                <w:rFonts w:hint="eastAsia" w:ascii="宋体" w:hAnsi="宋体" w:cs="宋体"/>
                <w:b/>
                <w:color w:val="000000"/>
                <w:szCs w:val="21"/>
              </w:rPr>
              <w:t>专任教师</w:t>
            </w:r>
          </w:p>
        </w:tc>
        <w:tc>
          <w:tcPr>
            <w:tcW w:w="910" w:type="dxa"/>
            <w:shd w:val="clear" w:color="auto" w:fill="auto"/>
            <w:vAlign w:val="center"/>
          </w:tcPr>
          <w:p>
            <w:pPr>
              <w:widowControl/>
              <w:autoSpaceDE w:val="0"/>
              <w:autoSpaceDN w:val="0"/>
              <w:adjustRightInd w:val="0"/>
              <w:jc w:val="center"/>
              <w:rPr>
                <w:rFonts w:ascii="宋体" w:hAnsi="宋体" w:cs="宋体"/>
                <w:color w:val="000000"/>
                <w:szCs w:val="21"/>
              </w:rPr>
            </w:pPr>
            <w:r>
              <w:rPr>
                <w:rFonts w:hint="eastAsia"/>
                <w:color w:val="000000"/>
                <w:sz w:val="22"/>
                <w:szCs w:val="22"/>
              </w:rPr>
              <w:t>李  婷</w:t>
            </w:r>
          </w:p>
        </w:tc>
        <w:tc>
          <w:tcPr>
            <w:tcW w:w="785"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33</w:t>
            </w:r>
          </w:p>
        </w:tc>
        <w:tc>
          <w:tcPr>
            <w:tcW w:w="1159" w:type="dxa"/>
            <w:shd w:val="clear" w:color="auto" w:fill="auto"/>
            <w:vAlign w:val="center"/>
          </w:tcPr>
          <w:p>
            <w:pPr>
              <w:widowControl/>
              <w:autoSpaceDE w:val="0"/>
              <w:autoSpaceDN w:val="0"/>
              <w:adjustRightInd w:val="0"/>
              <w:jc w:val="center"/>
              <w:rPr>
                <w:rFonts w:ascii="宋体" w:hAnsi="宋体" w:cs="宋体"/>
                <w:color w:val="000000"/>
                <w:szCs w:val="21"/>
              </w:rPr>
            </w:pPr>
            <w:r>
              <w:rPr>
                <w:rFonts w:hint="eastAsia"/>
                <w:color w:val="000000"/>
                <w:sz w:val="22"/>
                <w:szCs w:val="22"/>
              </w:rPr>
              <w:t>讲师</w:t>
            </w:r>
          </w:p>
        </w:tc>
        <w:tc>
          <w:tcPr>
            <w:tcW w:w="1600" w:type="dxa"/>
            <w:shd w:val="clear" w:color="auto" w:fill="auto"/>
            <w:vAlign w:val="center"/>
          </w:tcPr>
          <w:p>
            <w:pPr>
              <w:widowControl/>
              <w:autoSpaceDE w:val="0"/>
              <w:autoSpaceDN w:val="0"/>
              <w:adjustRightInd w:val="0"/>
              <w:jc w:val="center"/>
              <w:rPr>
                <w:rFonts w:ascii="宋体" w:hAnsi="宋体" w:cs="宋体"/>
                <w:color w:val="000000"/>
                <w:szCs w:val="21"/>
              </w:rPr>
            </w:pPr>
            <w:r>
              <w:rPr>
                <w:rFonts w:hint="eastAsia"/>
                <w:color w:val="000000"/>
                <w:sz w:val="22"/>
                <w:szCs w:val="22"/>
              </w:rPr>
              <w:t>博士</w:t>
            </w:r>
            <w:r>
              <w:rPr>
                <w:rFonts w:hint="eastAsia" w:ascii="宋体" w:hAnsi="宋体" w:cs="宋体"/>
                <w:color w:val="000000"/>
                <w:szCs w:val="21"/>
              </w:rPr>
              <w:t>研究生</w:t>
            </w:r>
          </w:p>
        </w:tc>
        <w:tc>
          <w:tcPr>
            <w:tcW w:w="2911"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消费心理理论与实务，市场营销实务，市场营销技能沙盘，商务礼仪实训，促销策划与执行</w:t>
            </w:r>
          </w:p>
        </w:tc>
        <w:tc>
          <w:tcPr>
            <w:tcW w:w="845"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2" w:type="dxa"/>
            <w:vMerge w:val="continue"/>
            <w:shd w:val="clear" w:color="auto" w:fill="auto"/>
            <w:vAlign w:val="center"/>
          </w:tcPr>
          <w:p>
            <w:pPr>
              <w:pStyle w:val="10"/>
              <w:spacing w:line="300" w:lineRule="exact"/>
              <w:ind w:firstLine="210"/>
              <w:jc w:val="center"/>
              <w:rPr>
                <w:rFonts w:ascii="宋体" w:hAnsi="宋体" w:cs="宋体"/>
                <w:color w:val="000000"/>
                <w:szCs w:val="21"/>
              </w:rPr>
            </w:pPr>
          </w:p>
        </w:tc>
        <w:tc>
          <w:tcPr>
            <w:tcW w:w="910"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王似保</w:t>
            </w:r>
          </w:p>
        </w:tc>
        <w:tc>
          <w:tcPr>
            <w:tcW w:w="785"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54</w:t>
            </w:r>
          </w:p>
        </w:tc>
        <w:tc>
          <w:tcPr>
            <w:tcW w:w="1159"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教授</w:t>
            </w:r>
          </w:p>
        </w:tc>
        <w:tc>
          <w:tcPr>
            <w:tcW w:w="1600"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本科硕士</w:t>
            </w:r>
          </w:p>
        </w:tc>
        <w:tc>
          <w:tcPr>
            <w:tcW w:w="2911"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市场营销实务、商务谈判与推销技巧</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vMerge w:val="continue"/>
            <w:shd w:val="clear" w:color="auto" w:fill="auto"/>
            <w:vAlign w:val="center"/>
          </w:tcPr>
          <w:p>
            <w:pPr>
              <w:pStyle w:val="10"/>
              <w:spacing w:line="300" w:lineRule="exact"/>
              <w:ind w:firstLine="210"/>
              <w:jc w:val="center"/>
              <w:rPr>
                <w:rFonts w:ascii="宋体" w:hAnsi="宋体" w:cs="宋体"/>
                <w:color w:val="000000"/>
                <w:szCs w:val="21"/>
              </w:rPr>
            </w:pPr>
          </w:p>
        </w:tc>
        <w:tc>
          <w:tcPr>
            <w:tcW w:w="910"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王浩</w:t>
            </w:r>
          </w:p>
        </w:tc>
        <w:tc>
          <w:tcPr>
            <w:tcW w:w="785"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55</w:t>
            </w:r>
          </w:p>
        </w:tc>
        <w:tc>
          <w:tcPr>
            <w:tcW w:w="1159"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副教授</w:t>
            </w:r>
          </w:p>
        </w:tc>
        <w:tc>
          <w:tcPr>
            <w:tcW w:w="1600"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本科硕士</w:t>
            </w:r>
          </w:p>
        </w:tc>
        <w:tc>
          <w:tcPr>
            <w:tcW w:w="2911"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市场调查预测、市场营销实务</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vMerge w:val="continue"/>
            <w:shd w:val="clear" w:color="auto" w:fill="auto"/>
            <w:vAlign w:val="center"/>
          </w:tcPr>
          <w:p>
            <w:pPr>
              <w:pStyle w:val="10"/>
              <w:spacing w:line="300" w:lineRule="exact"/>
              <w:ind w:firstLine="210"/>
              <w:jc w:val="center"/>
              <w:rPr>
                <w:rFonts w:ascii="宋体" w:hAnsi="宋体" w:cs="宋体"/>
                <w:color w:val="000000"/>
                <w:szCs w:val="21"/>
              </w:rPr>
            </w:pPr>
          </w:p>
        </w:tc>
        <w:tc>
          <w:tcPr>
            <w:tcW w:w="910" w:type="dxa"/>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2"/>
                <w:szCs w:val="22"/>
                <w:lang w:bidi="ar"/>
              </w:rPr>
              <w:t>胡梦娟</w:t>
            </w:r>
          </w:p>
        </w:tc>
        <w:tc>
          <w:tcPr>
            <w:tcW w:w="785"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22"/>
                <w:szCs w:val="22"/>
                <w:lang w:bidi="ar"/>
              </w:rPr>
              <w:t>29</w:t>
            </w:r>
          </w:p>
        </w:tc>
        <w:tc>
          <w:tcPr>
            <w:tcW w:w="1159"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 xml:space="preserve">助 </w:t>
            </w:r>
            <w:r>
              <w:rPr>
                <w:rFonts w:ascii="宋体" w:hAnsi="宋体" w:cs="宋体"/>
                <w:color w:val="000000"/>
                <w:szCs w:val="21"/>
              </w:rPr>
              <w:t xml:space="preserve"> </w:t>
            </w:r>
            <w:r>
              <w:rPr>
                <w:rFonts w:hint="eastAsia" w:ascii="宋体" w:hAnsi="宋体" w:cs="宋体"/>
                <w:color w:val="000000"/>
                <w:szCs w:val="21"/>
              </w:rPr>
              <w:t>教</w:t>
            </w:r>
          </w:p>
        </w:tc>
        <w:tc>
          <w:tcPr>
            <w:tcW w:w="1600"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本科学士</w:t>
            </w:r>
          </w:p>
        </w:tc>
        <w:tc>
          <w:tcPr>
            <w:tcW w:w="2911"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网络营销实务，1+X证书培训，经济学基础</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vMerge w:val="restart"/>
            <w:shd w:val="clear" w:color="auto" w:fill="auto"/>
            <w:vAlign w:val="center"/>
          </w:tcPr>
          <w:p>
            <w:pPr>
              <w:pStyle w:val="10"/>
              <w:spacing w:line="300" w:lineRule="exact"/>
              <w:ind w:firstLine="0" w:firstLineChars="0"/>
              <w:rPr>
                <w:rFonts w:ascii="宋体" w:hAnsi="宋体" w:cs="宋体"/>
                <w:color w:val="000000"/>
                <w:szCs w:val="21"/>
              </w:rPr>
            </w:pPr>
            <w:r>
              <w:rPr>
                <w:rFonts w:hint="eastAsia" w:ascii="宋体" w:hAnsi="宋体" w:cs="宋体"/>
                <w:b/>
                <w:color w:val="000000"/>
                <w:szCs w:val="21"/>
              </w:rPr>
              <w:t>兼任教师</w:t>
            </w:r>
          </w:p>
        </w:tc>
        <w:tc>
          <w:tcPr>
            <w:tcW w:w="910"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苏传胜</w:t>
            </w:r>
          </w:p>
        </w:tc>
        <w:tc>
          <w:tcPr>
            <w:tcW w:w="785"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37</w:t>
            </w:r>
          </w:p>
        </w:tc>
        <w:tc>
          <w:tcPr>
            <w:tcW w:w="1159"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助教</w:t>
            </w:r>
          </w:p>
        </w:tc>
        <w:tc>
          <w:tcPr>
            <w:tcW w:w="1600" w:type="dxa"/>
            <w:shd w:val="clear" w:color="auto" w:fill="auto"/>
          </w:tcPr>
          <w:p>
            <w:pPr>
              <w:pStyle w:val="10"/>
              <w:spacing w:line="300" w:lineRule="exact"/>
              <w:ind w:firstLine="210"/>
              <w:jc w:val="center"/>
              <w:rPr>
                <w:rFonts w:ascii="宋体" w:hAnsi="宋体" w:cs="宋体"/>
                <w:color w:val="000000"/>
                <w:szCs w:val="21"/>
              </w:rPr>
            </w:pPr>
            <w:r>
              <w:rPr>
                <w:rFonts w:hint="eastAsia" w:ascii="宋体" w:hAnsi="宋体" w:cs="宋体"/>
                <w:color w:val="000000"/>
                <w:szCs w:val="21"/>
              </w:rPr>
              <w:t>硕士研究生</w:t>
            </w:r>
          </w:p>
        </w:tc>
        <w:tc>
          <w:tcPr>
            <w:tcW w:w="2911" w:type="dxa"/>
            <w:shd w:val="clear" w:color="auto" w:fill="auto"/>
            <w:vAlign w:val="center"/>
          </w:tcPr>
          <w:p>
            <w:pPr>
              <w:pStyle w:val="10"/>
              <w:spacing w:line="300" w:lineRule="exact"/>
              <w:ind w:firstLine="220"/>
              <w:jc w:val="center"/>
              <w:rPr>
                <w:rFonts w:ascii="宋体" w:hAnsi="宋体" w:cs="宋体"/>
                <w:color w:val="000000"/>
                <w:szCs w:val="21"/>
              </w:rPr>
            </w:pPr>
            <w:r>
              <w:rPr>
                <w:rFonts w:hint="eastAsia" w:ascii="宋体" w:hAnsi="宋体" w:cs="宋体"/>
                <w:color w:val="000000"/>
                <w:kern w:val="0"/>
                <w:sz w:val="22"/>
                <w:szCs w:val="22"/>
                <w:lang w:bidi="ar"/>
              </w:rPr>
              <w:t>市场营销实务</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vMerge w:val="continue"/>
            <w:shd w:val="clear" w:color="auto" w:fill="auto"/>
            <w:vAlign w:val="center"/>
          </w:tcPr>
          <w:p>
            <w:pPr>
              <w:pStyle w:val="10"/>
              <w:spacing w:line="300" w:lineRule="exact"/>
              <w:ind w:firstLine="210"/>
              <w:jc w:val="center"/>
              <w:rPr>
                <w:rFonts w:ascii="宋体" w:hAnsi="宋体" w:cs="宋体"/>
                <w:color w:val="000000"/>
                <w:szCs w:val="21"/>
              </w:rPr>
            </w:pPr>
          </w:p>
        </w:tc>
        <w:tc>
          <w:tcPr>
            <w:tcW w:w="910"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李进恩</w:t>
            </w:r>
          </w:p>
        </w:tc>
        <w:tc>
          <w:tcPr>
            <w:tcW w:w="785"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55</w:t>
            </w:r>
          </w:p>
        </w:tc>
        <w:tc>
          <w:tcPr>
            <w:tcW w:w="1159"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副教授</w:t>
            </w:r>
          </w:p>
        </w:tc>
        <w:tc>
          <w:tcPr>
            <w:tcW w:w="1600"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本科硕士</w:t>
            </w:r>
          </w:p>
        </w:tc>
        <w:tc>
          <w:tcPr>
            <w:tcW w:w="2911" w:type="dxa"/>
            <w:shd w:val="clear" w:color="auto" w:fill="auto"/>
            <w:vAlign w:val="center"/>
          </w:tcPr>
          <w:p>
            <w:pPr>
              <w:pStyle w:val="10"/>
              <w:spacing w:line="300" w:lineRule="exact"/>
              <w:ind w:firstLine="220"/>
              <w:jc w:val="center"/>
              <w:rPr>
                <w:rFonts w:ascii="宋体" w:hAnsi="宋体" w:cs="宋体"/>
                <w:color w:val="000000"/>
                <w:szCs w:val="21"/>
              </w:rPr>
            </w:pPr>
            <w:r>
              <w:rPr>
                <w:rFonts w:hint="eastAsia" w:ascii="宋体" w:hAnsi="宋体" w:cs="宋体"/>
                <w:color w:val="000000"/>
                <w:kern w:val="0"/>
                <w:sz w:val="22"/>
                <w:szCs w:val="22"/>
                <w:lang w:bidi="ar"/>
              </w:rPr>
              <w:t>市场营销实务</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vMerge w:val="continue"/>
            <w:shd w:val="clear" w:color="auto" w:fill="auto"/>
            <w:vAlign w:val="center"/>
          </w:tcPr>
          <w:p>
            <w:pPr>
              <w:pStyle w:val="10"/>
              <w:spacing w:line="300" w:lineRule="exact"/>
              <w:ind w:firstLine="210"/>
              <w:jc w:val="center"/>
              <w:rPr>
                <w:rFonts w:ascii="宋体" w:hAnsi="宋体" w:cs="宋体"/>
                <w:color w:val="000000"/>
                <w:szCs w:val="21"/>
              </w:rPr>
            </w:pPr>
          </w:p>
        </w:tc>
        <w:tc>
          <w:tcPr>
            <w:tcW w:w="910"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赵晓彬</w:t>
            </w:r>
          </w:p>
        </w:tc>
        <w:tc>
          <w:tcPr>
            <w:tcW w:w="785"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47</w:t>
            </w:r>
          </w:p>
        </w:tc>
        <w:tc>
          <w:tcPr>
            <w:tcW w:w="1159"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 xml:space="preserve">讲 </w:t>
            </w:r>
            <w:r>
              <w:rPr>
                <w:rFonts w:ascii="宋体" w:hAnsi="宋体" w:cs="宋体"/>
                <w:color w:val="000000"/>
                <w:szCs w:val="21"/>
              </w:rPr>
              <w:t xml:space="preserve"> </w:t>
            </w:r>
            <w:r>
              <w:rPr>
                <w:rFonts w:hint="eastAsia" w:ascii="宋体" w:hAnsi="宋体" w:cs="宋体"/>
                <w:color w:val="000000"/>
                <w:szCs w:val="21"/>
              </w:rPr>
              <w:t>师</w:t>
            </w:r>
          </w:p>
        </w:tc>
        <w:tc>
          <w:tcPr>
            <w:tcW w:w="1600"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本科硕士</w:t>
            </w:r>
          </w:p>
        </w:tc>
        <w:tc>
          <w:tcPr>
            <w:tcW w:w="2911" w:type="dxa"/>
            <w:shd w:val="clear" w:color="auto" w:fill="auto"/>
            <w:vAlign w:val="center"/>
          </w:tcPr>
          <w:p>
            <w:pPr>
              <w:pStyle w:val="10"/>
              <w:spacing w:line="300" w:lineRule="exact"/>
              <w:ind w:firstLine="0" w:firstLineChars="0"/>
              <w:rPr>
                <w:rFonts w:ascii="宋体" w:hAnsi="宋体" w:cs="宋体"/>
                <w:color w:val="000000"/>
                <w:szCs w:val="21"/>
              </w:rPr>
            </w:pPr>
            <w:r>
              <w:rPr>
                <w:rFonts w:hint="eastAsia" w:ascii="宋体" w:hAnsi="宋体" w:cs="宋体"/>
                <w:color w:val="000000"/>
                <w:szCs w:val="21"/>
              </w:rPr>
              <w:t>创新创业培训；</w:t>
            </w:r>
            <w:r>
              <w:rPr>
                <w:rFonts w:hint="eastAsia" w:ascii="宋体" w:hAnsi="宋体" w:cs="宋体"/>
                <w:color w:val="000000"/>
                <w:kern w:val="0"/>
                <w:sz w:val="22"/>
                <w:szCs w:val="22"/>
                <w:lang w:bidi="ar"/>
              </w:rPr>
              <w:t>市场营销实务</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vMerge w:val="continue"/>
            <w:shd w:val="clear" w:color="auto" w:fill="auto"/>
            <w:vAlign w:val="center"/>
          </w:tcPr>
          <w:p>
            <w:pPr>
              <w:pStyle w:val="10"/>
              <w:spacing w:line="300" w:lineRule="exact"/>
              <w:ind w:firstLine="210"/>
              <w:jc w:val="center"/>
              <w:rPr>
                <w:rFonts w:ascii="宋体" w:hAnsi="宋体" w:cs="宋体"/>
                <w:color w:val="000000"/>
                <w:szCs w:val="21"/>
              </w:rPr>
            </w:pPr>
          </w:p>
        </w:tc>
        <w:tc>
          <w:tcPr>
            <w:tcW w:w="910"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张艳艳</w:t>
            </w:r>
          </w:p>
        </w:tc>
        <w:tc>
          <w:tcPr>
            <w:tcW w:w="785"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40</w:t>
            </w:r>
          </w:p>
        </w:tc>
        <w:tc>
          <w:tcPr>
            <w:tcW w:w="1159"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 xml:space="preserve">讲 </w:t>
            </w:r>
            <w:r>
              <w:rPr>
                <w:rFonts w:ascii="宋体" w:hAnsi="宋体" w:cs="宋体"/>
                <w:color w:val="000000"/>
                <w:szCs w:val="21"/>
              </w:rPr>
              <w:t xml:space="preserve"> </w:t>
            </w:r>
            <w:r>
              <w:rPr>
                <w:rFonts w:hint="eastAsia" w:ascii="宋体" w:hAnsi="宋体" w:cs="宋体"/>
                <w:color w:val="000000"/>
                <w:szCs w:val="21"/>
              </w:rPr>
              <w:t>师</w:t>
            </w:r>
          </w:p>
        </w:tc>
        <w:tc>
          <w:tcPr>
            <w:tcW w:w="1600" w:type="dxa"/>
            <w:shd w:val="clear" w:color="auto" w:fill="auto"/>
          </w:tcPr>
          <w:p>
            <w:pPr>
              <w:pStyle w:val="10"/>
              <w:spacing w:line="300" w:lineRule="exact"/>
              <w:ind w:firstLine="210"/>
              <w:jc w:val="center"/>
              <w:rPr>
                <w:rFonts w:ascii="宋体" w:hAnsi="宋体" w:cs="宋体"/>
                <w:color w:val="000000"/>
                <w:szCs w:val="21"/>
              </w:rPr>
            </w:pPr>
            <w:r>
              <w:rPr>
                <w:rFonts w:hint="eastAsia" w:ascii="宋体" w:hAnsi="宋体" w:cs="宋体"/>
                <w:color w:val="000000"/>
                <w:szCs w:val="21"/>
              </w:rPr>
              <w:t>硕士研究生</w:t>
            </w:r>
          </w:p>
        </w:tc>
        <w:tc>
          <w:tcPr>
            <w:tcW w:w="2911"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营销策划实务、市场营销实务、广告理论与实务</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vMerge w:val="continue"/>
            <w:shd w:val="clear" w:color="auto" w:fill="auto"/>
            <w:vAlign w:val="center"/>
          </w:tcPr>
          <w:p>
            <w:pPr>
              <w:pStyle w:val="10"/>
              <w:spacing w:line="300" w:lineRule="exact"/>
              <w:ind w:firstLine="210"/>
              <w:jc w:val="center"/>
              <w:rPr>
                <w:rFonts w:ascii="宋体" w:hAnsi="宋体" w:cs="宋体"/>
                <w:color w:val="000000"/>
                <w:szCs w:val="21"/>
              </w:rPr>
            </w:pPr>
          </w:p>
        </w:tc>
        <w:tc>
          <w:tcPr>
            <w:tcW w:w="910" w:type="dxa"/>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杨灿</w:t>
            </w:r>
          </w:p>
        </w:tc>
        <w:tc>
          <w:tcPr>
            <w:tcW w:w="785"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1159"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 xml:space="preserve">助 </w:t>
            </w:r>
            <w:r>
              <w:rPr>
                <w:rFonts w:ascii="宋体" w:hAnsi="宋体" w:cs="宋体"/>
                <w:color w:val="000000"/>
                <w:szCs w:val="21"/>
              </w:rPr>
              <w:t xml:space="preserve"> </w:t>
            </w:r>
            <w:r>
              <w:rPr>
                <w:rFonts w:hint="eastAsia" w:ascii="宋体" w:hAnsi="宋体" w:cs="宋体"/>
                <w:color w:val="000000"/>
                <w:szCs w:val="21"/>
              </w:rPr>
              <w:t>教</w:t>
            </w:r>
          </w:p>
        </w:tc>
        <w:tc>
          <w:tcPr>
            <w:tcW w:w="1600" w:type="dxa"/>
            <w:shd w:val="clear" w:color="auto" w:fill="auto"/>
          </w:tcPr>
          <w:p>
            <w:pPr>
              <w:pStyle w:val="10"/>
              <w:spacing w:line="300" w:lineRule="exact"/>
              <w:ind w:firstLine="210"/>
              <w:rPr>
                <w:rFonts w:ascii="宋体" w:hAnsi="宋体" w:cs="宋体"/>
                <w:color w:val="000000"/>
                <w:szCs w:val="21"/>
              </w:rPr>
            </w:pPr>
            <w:r>
              <w:rPr>
                <w:rFonts w:hint="eastAsia" w:ascii="宋体" w:hAnsi="宋体" w:cs="宋体"/>
                <w:color w:val="000000"/>
                <w:szCs w:val="21"/>
              </w:rPr>
              <w:t>本科学士</w:t>
            </w:r>
          </w:p>
        </w:tc>
        <w:tc>
          <w:tcPr>
            <w:tcW w:w="2911" w:type="dxa"/>
            <w:shd w:val="clear" w:color="auto" w:fill="auto"/>
            <w:vAlign w:val="center"/>
          </w:tcPr>
          <w:p>
            <w:pPr>
              <w:pStyle w:val="10"/>
              <w:spacing w:line="300" w:lineRule="exact"/>
              <w:ind w:firstLine="0" w:firstLineChars="0"/>
              <w:rPr>
                <w:rFonts w:ascii="宋体" w:hAnsi="宋体" w:cs="宋体"/>
                <w:color w:val="000000"/>
                <w:szCs w:val="21"/>
              </w:rPr>
            </w:pPr>
            <w:r>
              <w:rPr>
                <w:rFonts w:hint="eastAsia" w:ascii="宋体" w:hAnsi="宋体" w:cs="宋体"/>
                <w:color w:val="000000"/>
                <w:szCs w:val="21"/>
              </w:rPr>
              <w:t>创新创业培训；</w:t>
            </w:r>
            <w:r>
              <w:rPr>
                <w:rFonts w:hint="eastAsia" w:ascii="宋体" w:hAnsi="宋体" w:cs="宋体"/>
                <w:color w:val="000000"/>
                <w:kern w:val="0"/>
                <w:sz w:val="22"/>
                <w:szCs w:val="22"/>
                <w:lang w:bidi="ar"/>
              </w:rPr>
              <w:t>市场营销实务</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Merge w:val="restart"/>
            <w:shd w:val="clear" w:color="auto" w:fill="auto"/>
            <w:vAlign w:val="center"/>
          </w:tcPr>
          <w:p>
            <w:pPr>
              <w:overflowPunct w:val="0"/>
              <w:adjustRightInd w:val="0"/>
              <w:snapToGrid w:val="0"/>
              <w:spacing w:line="300" w:lineRule="exact"/>
              <w:jc w:val="center"/>
              <w:outlineLvl w:val="0"/>
              <w:rPr>
                <w:rFonts w:ascii="宋体" w:hAnsi="宋体" w:cs="宋体"/>
                <w:b/>
                <w:color w:val="000000"/>
                <w:szCs w:val="21"/>
              </w:rPr>
            </w:pPr>
            <w:r>
              <w:rPr>
                <w:rFonts w:hint="eastAsia" w:ascii="宋体" w:hAnsi="宋体" w:cs="宋体"/>
                <w:b/>
                <w:color w:val="000000"/>
                <w:szCs w:val="21"/>
              </w:rPr>
              <w:t>企业教师</w:t>
            </w:r>
          </w:p>
        </w:tc>
        <w:tc>
          <w:tcPr>
            <w:tcW w:w="910"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姓名</w:t>
            </w:r>
          </w:p>
        </w:tc>
        <w:tc>
          <w:tcPr>
            <w:tcW w:w="785"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年龄</w:t>
            </w:r>
          </w:p>
        </w:tc>
        <w:tc>
          <w:tcPr>
            <w:tcW w:w="1159"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职称</w:t>
            </w:r>
          </w:p>
        </w:tc>
        <w:tc>
          <w:tcPr>
            <w:tcW w:w="1600"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工作单位</w:t>
            </w:r>
          </w:p>
        </w:tc>
        <w:tc>
          <w:tcPr>
            <w:tcW w:w="2911"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主讲课程</w:t>
            </w:r>
          </w:p>
        </w:tc>
        <w:tc>
          <w:tcPr>
            <w:tcW w:w="845" w:type="dxa"/>
            <w:shd w:val="clear" w:color="auto" w:fill="auto"/>
            <w:vAlign w:val="center"/>
          </w:tcPr>
          <w:p>
            <w:pPr>
              <w:spacing w:line="260" w:lineRule="exact"/>
              <w:jc w:val="center"/>
              <w:rPr>
                <w:rFonts w:ascii="宋体" w:hAnsi="宋体"/>
                <w:b/>
                <w:bCs/>
                <w:color w:val="000000"/>
                <w:szCs w:val="21"/>
              </w:rPr>
            </w:pPr>
            <w:r>
              <w:rPr>
                <w:rFonts w:hint="eastAsia" w:ascii="宋体" w:hAnsi="宋体"/>
                <w:b/>
                <w:bCs/>
                <w:color w:val="000000"/>
                <w:szCs w:val="21"/>
              </w:rPr>
              <w:t>是否双师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Merge w:val="continue"/>
            <w:shd w:val="clear" w:color="auto" w:fill="auto"/>
            <w:vAlign w:val="center"/>
          </w:tcPr>
          <w:p>
            <w:pPr>
              <w:overflowPunct w:val="0"/>
              <w:adjustRightInd w:val="0"/>
              <w:snapToGrid w:val="0"/>
              <w:spacing w:line="300" w:lineRule="exact"/>
              <w:jc w:val="center"/>
              <w:outlineLvl w:val="0"/>
              <w:rPr>
                <w:rFonts w:ascii="宋体" w:hAnsi="宋体" w:cs="宋体"/>
                <w:b/>
                <w:color w:val="000000"/>
                <w:szCs w:val="21"/>
              </w:rPr>
            </w:pPr>
          </w:p>
        </w:tc>
        <w:tc>
          <w:tcPr>
            <w:tcW w:w="910"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color w:val="000000"/>
                <w:sz w:val="22"/>
                <w:szCs w:val="22"/>
              </w:rPr>
              <w:t>汪姜峰</w:t>
            </w:r>
          </w:p>
        </w:tc>
        <w:tc>
          <w:tcPr>
            <w:tcW w:w="785"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0</w:t>
            </w:r>
          </w:p>
        </w:tc>
        <w:tc>
          <w:tcPr>
            <w:tcW w:w="1159"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szCs w:val="21"/>
              </w:rPr>
              <w:t>高级</w:t>
            </w:r>
          </w:p>
        </w:tc>
        <w:tc>
          <w:tcPr>
            <w:tcW w:w="1600" w:type="dxa"/>
            <w:shd w:val="clear" w:color="auto" w:fill="auto"/>
            <w:vAlign w:val="center"/>
          </w:tcPr>
          <w:p>
            <w:pPr>
              <w:pStyle w:val="10"/>
              <w:spacing w:line="300" w:lineRule="exact"/>
              <w:ind w:firstLine="0" w:firstLineChars="0"/>
              <w:jc w:val="center"/>
              <w:rPr>
                <w:rFonts w:ascii="宋体" w:hAnsi="宋体" w:cs="宋体"/>
                <w:color w:val="000000"/>
                <w:szCs w:val="21"/>
              </w:rPr>
            </w:pPr>
            <w:r>
              <w:rPr>
                <w:rFonts w:hint="eastAsia" w:ascii="宋体" w:hAnsi="宋体" w:cs="宋体"/>
                <w:color w:val="000000"/>
                <w:kern w:val="0"/>
                <w:sz w:val="22"/>
                <w:szCs w:val="22"/>
                <w:lang w:bidi="ar"/>
              </w:rPr>
              <w:t>安徽中信智力房地产评估造价咨询有限公司</w:t>
            </w:r>
          </w:p>
        </w:tc>
        <w:tc>
          <w:tcPr>
            <w:tcW w:w="2911" w:type="dxa"/>
            <w:shd w:val="clear" w:color="auto" w:fill="auto"/>
            <w:vAlign w:val="center"/>
          </w:tcPr>
          <w:p>
            <w:pPr>
              <w:pStyle w:val="10"/>
              <w:spacing w:line="300" w:lineRule="exact"/>
              <w:ind w:firstLine="220"/>
              <w:jc w:val="center"/>
              <w:rPr>
                <w:rFonts w:ascii="宋体" w:hAnsi="宋体" w:cs="宋体"/>
                <w:color w:val="000000"/>
                <w:szCs w:val="21"/>
              </w:rPr>
            </w:pPr>
            <w:r>
              <w:rPr>
                <w:rFonts w:hint="eastAsia" w:ascii="宋体" w:hAnsi="宋体" w:cs="宋体"/>
                <w:color w:val="000000"/>
                <w:kern w:val="0"/>
                <w:sz w:val="22"/>
                <w:szCs w:val="22"/>
                <w:lang w:bidi="ar"/>
              </w:rPr>
              <w:t>品牌策划与推广</w:t>
            </w:r>
          </w:p>
        </w:tc>
        <w:tc>
          <w:tcPr>
            <w:tcW w:w="845" w:type="dxa"/>
            <w:shd w:val="clear" w:color="auto" w:fill="auto"/>
            <w:vAlign w:val="center"/>
          </w:tcPr>
          <w:p>
            <w:pPr>
              <w:pStyle w:val="10"/>
              <w:spacing w:line="300" w:lineRule="exact"/>
              <w:ind w:firstLine="210"/>
              <w:rPr>
                <w:rFonts w:ascii="宋体" w:hAnsi="宋体" w:cs="宋体"/>
                <w:color w:val="000000"/>
                <w:szCs w:val="21"/>
              </w:rPr>
            </w:pPr>
            <w:r>
              <w:rPr>
                <w:rFonts w:hint="eastAsia" w:ascii="宋体" w:hAnsi="宋体" w:cs="宋体"/>
                <w:color w:val="000000"/>
                <w:szCs w:val="21"/>
              </w:rPr>
              <w:t>是</w:t>
            </w:r>
          </w:p>
        </w:tc>
      </w:tr>
    </w:tbl>
    <w:p>
      <w:pPr>
        <w:overflowPunct w:val="0"/>
        <w:spacing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（二）教学设施</w:t>
      </w:r>
    </w:p>
    <w:p>
      <w:pPr>
        <w:overflowPunct w:val="0"/>
        <w:spacing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1.校内基地具备条件</w:t>
      </w:r>
    </w:p>
    <w:tbl>
      <w:tblPr>
        <w:tblStyle w:val="11"/>
        <w:tblW w:w="87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97"/>
        <w:gridCol w:w="2234"/>
        <w:gridCol w:w="2017"/>
        <w:gridCol w:w="21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blHeader/>
          <w:jc w:val="center"/>
        </w:trPr>
        <w:tc>
          <w:tcPr>
            <w:tcW w:w="229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实训类别</w:t>
            </w:r>
          </w:p>
        </w:tc>
        <w:tc>
          <w:tcPr>
            <w:tcW w:w="2234"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实训项目</w:t>
            </w: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主要设备名称</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数量（台/套）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市场营销技能实验室</w:t>
            </w:r>
          </w:p>
        </w:tc>
        <w:tc>
          <w:tcPr>
            <w:tcW w:w="2234"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模拟企业市场营销活动</w:t>
            </w: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服务器</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教师用机</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学生用机</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投影仪</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桌椅</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市场营销技能软件</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企业经营管理实训室</w:t>
            </w:r>
          </w:p>
        </w:tc>
        <w:tc>
          <w:tcPr>
            <w:tcW w:w="2234"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模拟企业运营</w:t>
            </w: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服务器</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教师用机</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学生用机</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投影仪</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桌椅</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ERP软件</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商务谈判实训室</w:t>
            </w:r>
          </w:p>
        </w:tc>
        <w:tc>
          <w:tcPr>
            <w:tcW w:w="2234"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商务谈判、推销实训</w:t>
            </w: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服务器</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教师用机</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投影仪</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桌椅</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商务谈判软件</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营销大师工作室</w:t>
            </w:r>
          </w:p>
        </w:tc>
        <w:tc>
          <w:tcPr>
            <w:tcW w:w="2234" w:type="dxa"/>
            <w:vMerge w:val="restart"/>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项目实训</w:t>
            </w: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笔记本电脑</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服务器</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教师用机</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297"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p>
        </w:tc>
        <w:tc>
          <w:tcPr>
            <w:tcW w:w="2234" w:type="dxa"/>
            <w:vMerge w:val="continue"/>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1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投影仪</w:t>
            </w:r>
          </w:p>
        </w:tc>
        <w:tc>
          <w:tcPr>
            <w:tcW w:w="218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r>
    </w:tbl>
    <w:p>
      <w:pPr>
        <w:overflowPunct w:val="0"/>
        <w:spacing w:before="156" w:beforeLines="50"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2.校外基地具备条件</w:t>
      </w:r>
    </w:p>
    <w:p>
      <w:pPr>
        <w:overflowPunct w:val="0"/>
        <w:spacing w:line="324" w:lineRule="auto"/>
        <w:ind w:firstLine="482" w:firstLineChars="200"/>
        <w:outlineLvl w:val="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校外实习基地要求</w:t>
      </w:r>
    </w:p>
    <w:p>
      <w:pPr>
        <w:overflowPunct w:val="0"/>
        <w:spacing w:line="324" w:lineRule="auto"/>
        <w:ind w:firstLine="480" w:firstLineChars="200"/>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（1）正规企业，愿意联合办学或者每次愿意接受实习学生10人以上；</w:t>
      </w:r>
    </w:p>
    <w:p>
      <w:pPr>
        <w:overflowPunct w:val="0"/>
        <w:spacing w:line="324" w:lineRule="auto"/>
        <w:ind w:firstLine="480" w:firstLineChars="200"/>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（2）要求签约，买意外险；</w:t>
      </w:r>
    </w:p>
    <w:p>
      <w:pPr>
        <w:overflowPunct w:val="0"/>
        <w:spacing w:line="324" w:lineRule="auto"/>
        <w:ind w:firstLine="480" w:firstLineChars="200"/>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（3）企业性质与安排的实习岗位及学生实习项目相关。</w:t>
      </w:r>
    </w:p>
    <w:p>
      <w:pPr>
        <w:overflowPunct w:val="0"/>
        <w:spacing w:line="324" w:lineRule="auto"/>
        <w:ind w:firstLine="482" w:firstLineChars="200"/>
        <w:outlineLvl w:val="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已签约的实习单位</w:t>
      </w:r>
    </w:p>
    <w:tbl>
      <w:tblPr>
        <w:tblStyle w:val="11"/>
        <w:tblW w:w="87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4"/>
        <w:gridCol w:w="2833"/>
        <w:gridCol w:w="1055"/>
        <w:gridCol w:w="2345"/>
        <w:gridCol w:w="19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方正黑体简体" w:hAnsi="方正黑体简体" w:eastAsia="方正黑体简体" w:cs="方正黑体简体"/>
                <w:color w:val="000000" w:themeColor="text1"/>
                <w:kern w:val="0"/>
                <w:szCs w:val="21"/>
                <w14:textFill>
                  <w14:solidFill>
                    <w14:schemeClr w14:val="tx1"/>
                  </w14:solidFill>
                </w14:textFill>
              </w:rPr>
            </w:pPr>
            <w:r>
              <w:rPr>
                <w:rFonts w:hint="eastAsia" w:ascii="方正黑体简体" w:hAnsi="方正黑体简体" w:eastAsia="方正黑体简体" w:cs="方正黑体简体"/>
                <w:color w:val="000000" w:themeColor="text1"/>
                <w:kern w:val="0"/>
                <w:szCs w:val="21"/>
                <w14:textFill>
                  <w14:solidFill>
                    <w14:schemeClr w14:val="tx1"/>
                  </w14:solidFill>
                </w14:textFill>
              </w:rPr>
              <w:t>序号</w:t>
            </w:r>
          </w:p>
        </w:tc>
        <w:tc>
          <w:tcPr>
            <w:tcW w:w="2833"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方正黑体简体" w:hAnsi="方正黑体简体" w:eastAsia="方正黑体简体" w:cs="方正黑体简体"/>
                <w:color w:val="000000" w:themeColor="text1"/>
                <w:kern w:val="0"/>
                <w:szCs w:val="21"/>
                <w14:textFill>
                  <w14:solidFill>
                    <w14:schemeClr w14:val="tx1"/>
                  </w14:solidFill>
                </w14:textFill>
              </w:rPr>
            </w:pPr>
            <w:r>
              <w:rPr>
                <w:rFonts w:hint="eastAsia" w:ascii="方正黑体简体" w:hAnsi="方正黑体简体" w:eastAsia="方正黑体简体" w:cs="方正黑体简体"/>
                <w:color w:val="000000" w:themeColor="text1"/>
                <w:kern w:val="0"/>
                <w:szCs w:val="21"/>
                <w14:textFill>
                  <w14:solidFill>
                    <w14:schemeClr w14:val="tx1"/>
                  </w14:solidFill>
                </w14:textFill>
              </w:rPr>
              <w:t>实训企业</w:t>
            </w:r>
          </w:p>
        </w:tc>
        <w:tc>
          <w:tcPr>
            <w:tcW w:w="1055" w:type="dxa"/>
            <w:tcBorders>
              <w:tl2br w:val="nil"/>
              <w:tr2bl w:val="nil"/>
            </w:tcBorders>
          </w:tcPr>
          <w:p>
            <w:pPr>
              <w:spacing w:line="0" w:lineRule="atLeast"/>
              <w:jc w:val="center"/>
              <w:rPr>
                <w:rFonts w:ascii="方正黑体简体" w:hAnsi="方正黑体简体" w:eastAsia="方正黑体简体" w:cs="方正黑体简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地点</w:t>
            </w:r>
          </w:p>
        </w:tc>
        <w:tc>
          <w:tcPr>
            <w:tcW w:w="2345"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kern w:val="0"/>
                <w:szCs w:val="21"/>
                <w14:textFill>
                  <w14:solidFill>
                    <w14:schemeClr w14:val="tx1"/>
                  </w14:solidFill>
                </w14:textFill>
              </w:rPr>
              <w:t>实训项目</w:t>
            </w:r>
          </w:p>
        </w:tc>
        <w:tc>
          <w:tcPr>
            <w:tcW w:w="1987" w:type="dxa"/>
            <w:tcBorders>
              <w:tl2br w:val="nil"/>
              <w:tr2bl w:val="nil"/>
            </w:tcBorders>
            <w:shd w:val="clear" w:color="auto" w:fill="auto"/>
            <w:tcMar>
              <w:top w:w="119" w:type="dxa"/>
              <w:left w:w="45" w:type="dxa"/>
              <w:bottom w:w="62" w:type="dxa"/>
              <w:right w:w="45" w:type="dxa"/>
            </w:tcMar>
            <w:vAlign w:val="center"/>
          </w:tcPr>
          <w:p>
            <w:pPr>
              <w:spacing w:line="0" w:lineRule="atLeast"/>
              <w:jc w:val="center"/>
              <w:rPr>
                <w:rFonts w:ascii="方正黑体简体" w:hAnsi="方正黑体简体" w:eastAsia="方正黑体简体" w:cs="方正黑体简体"/>
                <w:color w:val="000000" w:themeColor="text1"/>
                <w:kern w:val="0"/>
                <w:szCs w:val="21"/>
                <w14:textFill>
                  <w14:solidFill>
                    <w14:schemeClr w14:val="tx1"/>
                  </w14:solidFill>
                </w14:textFill>
              </w:rPr>
            </w:pPr>
            <w:r>
              <w:rPr>
                <w:rFonts w:hint="eastAsia" w:ascii="方正黑体简体" w:hAnsi="方正黑体简体" w:eastAsia="方正黑体简体" w:cs="方正黑体简体"/>
                <w:color w:val="000000" w:themeColor="text1"/>
                <w:kern w:val="0"/>
                <w:szCs w:val="21"/>
                <w14:textFill>
                  <w14:solidFill>
                    <w14:schemeClr w14:val="tx1"/>
                  </w14:solidFill>
                </w14:textFill>
              </w:rPr>
              <w:t>签订协议情况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南京垦荒人集团公司</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南京</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广告、客户服务</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链家集团合肥有限公司</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合肥</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咨询、业务推广、销售</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安徽安思恒科技有限责任公司</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安庆</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销售、市场调查预测</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上海左屋右盛房屋开发公司</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上海</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谈判、公关</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5</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贝壳科技有限公司安庆公司</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安庆</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管理、客户关系管理</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6</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平安保险安庆公司</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安庆</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销售、策划、广告、客户服务</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7</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安徽中信智力服务机构</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安庆</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咨询、业务推广、销售</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8</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安庆青园农机集团</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安庆</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销售、策划</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9</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安庆筑梦新区</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安庆</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网络营销</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6" w:hRule="atLeast"/>
          <w:jc w:val="center"/>
        </w:trPr>
        <w:tc>
          <w:tcPr>
            <w:tcW w:w="564"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w:t>
            </w:r>
            <w:r>
              <w:rPr>
                <w:rFonts w:asciiTheme="minorEastAsia" w:hAnsiTheme="minorEastAsia" w:eastAsiaTheme="minorEastAsia" w:cstheme="minorEastAsia"/>
                <w:color w:val="000000" w:themeColor="text1"/>
                <w:kern w:val="0"/>
                <w:szCs w:val="21"/>
                <w14:textFill>
                  <w14:solidFill>
                    <w14:schemeClr w14:val="tx1"/>
                  </w14:solidFill>
                </w14:textFill>
              </w:rPr>
              <w:t>0</w:t>
            </w:r>
          </w:p>
        </w:tc>
        <w:tc>
          <w:tcPr>
            <w:tcW w:w="2833"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安庆新百百货集团公司</w:t>
            </w:r>
          </w:p>
        </w:tc>
        <w:tc>
          <w:tcPr>
            <w:tcW w:w="1055" w:type="dxa"/>
            <w:tcBorders>
              <w:tl2br w:val="nil"/>
              <w:tr2bl w:val="nil"/>
            </w:tcBorders>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安庆</w:t>
            </w:r>
          </w:p>
        </w:tc>
        <w:tc>
          <w:tcPr>
            <w:tcW w:w="2345"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销售、客户服务</w:t>
            </w:r>
          </w:p>
        </w:tc>
        <w:tc>
          <w:tcPr>
            <w:tcW w:w="1987" w:type="dxa"/>
            <w:tcBorders>
              <w:tl2br w:val="nil"/>
              <w:tr2bl w:val="nil"/>
            </w:tcBorders>
            <w:shd w:val="clear" w:color="auto" w:fill="auto"/>
            <w:tcMar>
              <w:top w:w="119" w:type="dxa"/>
              <w:left w:w="45" w:type="dxa"/>
              <w:bottom w:w="62" w:type="dxa"/>
              <w:right w:w="45" w:type="dxa"/>
            </w:tcMar>
            <w:vAlign w:val="center"/>
          </w:tcPr>
          <w:p>
            <w:pPr>
              <w:adjustRightInd w:val="0"/>
              <w:spacing w:line="0" w:lineRule="atLeast"/>
              <w:ind w:firstLine="48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已签</w:t>
            </w:r>
          </w:p>
        </w:tc>
      </w:tr>
    </w:tbl>
    <w:p>
      <w:pPr>
        <w:overflowPunct w:val="0"/>
        <w:spacing w:before="156" w:beforeLines="50"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（三）教学资源</w:t>
      </w:r>
    </w:p>
    <w:p>
      <w:pPr>
        <w:overflowPunct w:val="0"/>
        <w:spacing w:line="324" w:lineRule="auto"/>
        <w:ind w:firstLine="480" w:firstLineChars="200"/>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1、按照《安庆职业技术学院教材管理办法》进行教材的选用与征订，优先选用“十三五”国规教材书目中的教材，确保优质教材进课堂，杜绝使用不合格教材;</w:t>
      </w:r>
    </w:p>
    <w:p>
      <w:pPr>
        <w:spacing w:line="360" w:lineRule="auto"/>
        <w:ind w:firstLine="480" w:firstLineChars="200"/>
        <w:rPr>
          <w:rFonts w:ascii="宋体" w:hAnsi="宋体"/>
          <w:color w:val="000000"/>
          <w:sz w:val="24"/>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宋体" w:hAnsi="宋体"/>
          <w:color w:val="000000"/>
          <w:sz w:val="24"/>
        </w:rPr>
        <w:t>图书文献配备基本要求</w:t>
      </w:r>
    </w:p>
    <w:p>
      <w:pPr>
        <w:spacing w:line="360" w:lineRule="auto"/>
        <w:ind w:left="-90"/>
        <w:rPr>
          <w:rFonts w:ascii="宋体" w:hAnsi="宋体"/>
          <w:color w:val="000000"/>
          <w:sz w:val="24"/>
        </w:rPr>
      </w:pPr>
      <w:r>
        <w:rPr>
          <w:rFonts w:ascii="宋体" w:hAnsi="宋体"/>
          <w:color w:val="000000"/>
          <w:sz w:val="24"/>
        </w:rPr>
        <w:t xml:space="preserve">     </w:t>
      </w:r>
      <w:r>
        <w:rPr>
          <w:rFonts w:hint="eastAsia" w:ascii="宋体" w:hAnsi="宋体"/>
          <w:color w:val="000000"/>
          <w:sz w:val="24"/>
        </w:rPr>
        <w:t>学校图书馆纸质或电子文献配备能满足人才培养、专业建设、教科研等工作的需要，师生查询、借阅方便。其中，专业类图书文献主要包括:《营销管理》、《战略营销-谋局胜于夺势》、《新媒体营销》等方面的专业用书和文献资源，并且订阅有多种营销专业领域的优秀期刊。</w:t>
      </w:r>
    </w:p>
    <w:p>
      <w:pPr>
        <w:spacing w:line="360" w:lineRule="auto"/>
        <w:ind w:firstLine="480" w:firstLineChars="200"/>
        <w:rPr>
          <w:rFonts w:ascii="宋体" w:hAnsi="宋体"/>
          <w:color w:val="000000"/>
          <w:sz w:val="24"/>
        </w:rPr>
      </w:pPr>
      <w:r>
        <w:rPr>
          <w:rFonts w:hint="eastAsia" w:ascii="宋体" w:hAnsi="宋体"/>
          <w:color w:val="000000"/>
          <w:sz w:val="24"/>
        </w:rPr>
        <w:t>3、数字教学资源配置基本要求</w:t>
      </w:r>
    </w:p>
    <w:p>
      <w:pPr>
        <w:spacing w:line="360" w:lineRule="auto"/>
        <w:ind w:right="27" w:rightChars="13"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color w:val="000000"/>
          <w:sz w:val="24"/>
        </w:rPr>
        <w:t>本专业在超星学习通、e会学安徽智慧教育平台建有市场营销实务、消费心理理论与实务、广告理论实务等课程专业教学资源库，种类丰富、形式多样、使用便捷、动态更新，能满足教学要求。</w:t>
      </w:r>
    </w:p>
    <w:p>
      <w:pPr>
        <w:overflowPunct w:val="0"/>
        <w:spacing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（四）教学方法</w:t>
      </w:r>
    </w:p>
    <w:p>
      <w:pPr>
        <w:overflowPunct w:val="0"/>
        <w:spacing w:line="324" w:lineRule="auto"/>
        <w:ind w:firstLine="480" w:firstLineChars="200"/>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以工作岗位为导向，以岗位能力培养为根本，深化实践教学，充分利用校内校外实训基地，实现人才培养与工作岗位对接。以学生为中心，积极探索实施包括项目教学、情境教学、模块化教学、案例教学、体验教学等多种教学方式，充分调动学生的学习积极性，主动学习，积极思考，激发学生潜能。进一步围绕教学层面，深化高技能人才培养模式改革，进行“岗课赛证”的一体化设计：“岗”是课程学习的标准，课程设置内容要瞄准岗位需求，对接职业标准和工作过程，吸收行业发展的新知识、新技术、新工艺、新方法，专业课教材要对接主流生产技术，校企合作共同开发，充分体现岗位技能、通用技术等内容，教师团队要探索分工协作的模块化教学组织方式；“课”是教学改革的核心，要通过课程改革，推动“课堂革命”，适应生源多样化特点，完善以学习者为中心的专业和课程教学评价体系；“赛”是课程教学的高端展示，要通过建立健全国家、省、校三级师生比赛机制，提升课程教学水平；“证”是课程学习的行业检验，要通过开发、融通多类职业技能鉴定证书、资格证书和等级证书，将职业活动和个人职业生涯发展所需要的综合能力融入证书，拓展学生就业创业本领，缓解结构性就业矛盾。</w:t>
      </w:r>
    </w:p>
    <w:p>
      <w:pPr>
        <w:overflowPunct w:val="0"/>
        <w:spacing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（五）学习评价</w:t>
      </w:r>
    </w:p>
    <w:p>
      <w:pPr>
        <w:overflowPunct w:val="0"/>
        <w:spacing w:line="324" w:lineRule="auto"/>
        <w:ind w:firstLine="480" w:firstLineChars="200"/>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评价采用过程与结果相结合，校外与实习单位相结合的</w:t>
      </w:r>
    </w:p>
    <w:p>
      <w:pPr>
        <w:overflowPunct w:val="0"/>
        <w:spacing w:line="324" w:lineRule="auto"/>
        <w:ind w:firstLine="480" w:firstLineChars="200"/>
        <w:outlineLvl w:val="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价体系。评价内容从对学生认知领域评价扩展为对学生全面综合的评价，即态度、知识、技能、方法、能力多维兼顾；评价主体要积极探索多元化，可实施学生自评、同学互评、授课教师与指导老师评价综合使用；评价方法实行多样化，定量、定性结合。</w:t>
      </w:r>
    </w:p>
    <w:p>
      <w:pPr>
        <w:overflowPunct w:val="0"/>
        <w:spacing w:line="324" w:lineRule="auto"/>
        <w:ind w:firstLine="482" w:firstLineChars="200"/>
        <w:outlineLvl w:val="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（六）质量管理</w:t>
      </w:r>
    </w:p>
    <w:p>
      <w:pPr>
        <w:spacing w:line="360" w:lineRule="auto"/>
        <w:ind w:firstLine="600" w:firstLineChars="250"/>
        <w:rPr>
          <w:rFonts w:ascii="宋体" w:hAnsi="宋体"/>
          <w:color w:val="000000"/>
          <w:sz w:val="24"/>
        </w:rPr>
      </w:pPr>
      <w:r>
        <w:rPr>
          <w:rFonts w:hint="eastAsia" w:ascii="宋体" w:hAnsi="宋体"/>
          <w:color w:val="000000"/>
          <w:sz w:val="24"/>
        </w:rPr>
        <w:t>学校制定有《教学质量监控体系及实施办法》、《教师教学质量考核办法》、《内部质量保证责任事故认定及处理办法》以及专业与课程层面自我诊改工作实施办法等，形成了由校领导、校教学督导、二级学院负责人、专业建设负责人等组成的教学质量监控评价队伍，建立了一套适合我校特点的教学质量管理与教学检查评估系统。主要有：</w:t>
      </w:r>
    </w:p>
    <w:p>
      <w:pPr>
        <w:spacing w:line="360" w:lineRule="auto"/>
        <w:ind w:firstLine="480" w:firstLineChars="200"/>
        <w:rPr>
          <w:rFonts w:ascii="宋体" w:hAnsi="宋体"/>
          <w:color w:val="000000"/>
          <w:sz w:val="24"/>
        </w:rPr>
      </w:pPr>
      <w:r>
        <w:rPr>
          <w:rFonts w:hint="eastAsia" w:ascii="宋体" w:hAnsi="宋体"/>
          <w:color w:val="000000"/>
          <w:sz w:val="24"/>
        </w:rPr>
        <w:t>1.每年适时更新人才培养方案、开展教学质量标准建设和课程资源建设，通过教学实施、过程监控、质量评价和持续改进，达成人才培养规格。</w:t>
      </w:r>
    </w:p>
    <w:p>
      <w:pPr>
        <w:spacing w:line="360" w:lineRule="auto"/>
        <w:ind w:firstLine="480" w:firstLineChars="200"/>
        <w:rPr>
          <w:rFonts w:ascii="宋体" w:hAnsi="宋体"/>
          <w:color w:val="000000"/>
          <w:sz w:val="24"/>
        </w:rPr>
      </w:pPr>
      <w:r>
        <w:rPr>
          <w:rFonts w:hint="eastAsia" w:ascii="宋体" w:hAnsi="宋体"/>
          <w:color w:val="000000"/>
          <w:sz w:val="24"/>
        </w:rPr>
        <w:t>2.加强“校、院(部)、专业”三级日常教学组织运行与管理，严明教学纪律，强化教学组织功能，巡课、听课、评教、评学等常态化进行。定期开展专业与课程建设水平和教学质量诊断与改进，定期开展公开课、示范课等教研活动，与企业联动强化岗位实习等实践教学环节的督导。</w:t>
      </w:r>
    </w:p>
    <w:p>
      <w:pPr>
        <w:spacing w:line="360" w:lineRule="auto"/>
        <w:ind w:firstLine="480" w:firstLineChars="200"/>
        <w:rPr>
          <w:rFonts w:ascii="宋体" w:hAnsi="宋体"/>
          <w:color w:val="000000"/>
          <w:sz w:val="24"/>
        </w:rPr>
      </w:pPr>
      <w:r>
        <w:rPr>
          <w:rFonts w:hint="eastAsia" w:ascii="宋体" w:hAnsi="宋体"/>
          <w:color w:val="000000"/>
          <w:sz w:val="24"/>
        </w:rPr>
        <w:t>3.学校建立有毕业生跟踪反馈机制及社会评价机制，每年开展跟踪毕业生反馈及社会评价，并对招生地生源情况、在校生学业水平、毕业生就业情况等进行分析，定期评价人才培养质量和培养目标达成情况。</w:t>
      </w:r>
    </w:p>
    <w:p>
      <w:pPr>
        <w:spacing w:line="360" w:lineRule="auto"/>
        <w:ind w:firstLine="480" w:firstLineChars="200"/>
        <w:rPr>
          <w:rFonts w:ascii="宋体" w:hAnsi="宋体"/>
          <w:color w:val="000000"/>
          <w:sz w:val="24"/>
        </w:rPr>
      </w:pPr>
      <w:r>
        <w:rPr>
          <w:rFonts w:hint="eastAsia" w:ascii="宋体" w:hAnsi="宋体"/>
          <w:color w:val="000000"/>
          <w:sz w:val="24"/>
        </w:rPr>
        <w:t>4.专业教学团队充分利用以上评价分析结果，有效改进专业教学，持续提高人才培养质量。</w:t>
      </w:r>
    </w:p>
    <w:p>
      <w:pPr>
        <w:spacing w:before="156" w:beforeLines="50" w:after="156" w:afterLines="50" w:line="360" w:lineRule="auto"/>
        <w:ind w:left="420" w:left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十、毕业资格与要求</w:t>
      </w:r>
    </w:p>
    <w:p>
      <w:pPr>
        <w:overflowPunct w:val="0"/>
        <w:spacing w:line="324" w:lineRule="auto"/>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（一）学时或学分要求</w:t>
      </w:r>
    </w:p>
    <w:tbl>
      <w:tblPr>
        <w:tblStyle w:val="11"/>
        <w:tblW w:w="8823" w:type="dxa"/>
        <w:jc w:val="center"/>
        <w:tblLayout w:type="fixed"/>
        <w:tblCellMar>
          <w:top w:w="0" w:type="dxa"/>
          <w:left w:w="108" w:type="dxa"/>
          <w:bottom w:w="0" w:type="dxa"/>
          <w:right w:w="108" w:type="dxa"/>
        </w:tblCellMar>
      </w:tblPr>
      <w:tblGrid>
        <w:gridCol w:w="1702"/>
        <w:gridCol w:w="1701"/>
        <w:gridCol w:w="1701"/>
        <w:gridCol w:w="1734"/>
        <w:gridCol w:w="1134"/>
        <w:gridCol w:w="851"/>
      </w:tblGrid>
      <w:tr>
        <w:tblPrEx>
          <w:tblCellMar>
            <w:top w:w="0" w:type="dxa"/>
            <w:left w:w="108" w:type="dxa"/>
            <w:bottom w:w="0" w:type="dxa"/>
            <w:right w:w="108" w:type="dxa"/>
          </w:tblCellMar>
        </w:tblPrEx>
        <w:trPr>
          <w:trHeight w:val="480" w:hRule="atLeast"/>
          <w:jc w:val="center"/>
        </w:trPr>
        <w:tc>
          <w:tcPr>
            <w:tcW w:w="170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s="宋体"/>
                <w:color w:val="000000"/>
                <w:sz w:val="24"/>
              </w:rPr>
            </w:pPr>
            <w:r>
              <w:rPr>
                <w:rFonts w:hint="eastAsia" w:ascii="宋体" w:hAnsi="宋体" w:cs="宋体"/>
                <w:color w:val="000000"/>
                <w:spacing w:val="3"/>
                <w:kern w:val="0"/>
                <w:sz w:val="24"/>
              </w:rPr>
              <w:t>公共基础课程</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s="宋体"/>
                <w:color w:val="000000"/>
                <w:spacing w:val="3"/>
                <w:kern w:val="0"/>
                <w:sz w:val="24"/>
              </w:rPr>
            </w:pPr>
            <w:r>
              <w:rPr>
                <w:rFonts w:hint="eastAsia" w:ascii="宋体" w:hAnsi="宋体" w:cs="宋体"/>
                <w:color w:val="000000"/>
                <w:spacing w:val="3"/>
                <w:kern w:val="0"/>
                <w:sz w:val="24"/>
              </w:rPr>
              <w:t>专业技术模块</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s="宋体"/>
                <w:color w:val="000000"/>
                <w:sz w:val="24"/>
              </w:rPr>
            </w:pPr>
            <w:r>
              <w:rPr>
                <w:rFonts w:hint="eastAsia" w:ascii="宋体" w:hAnsi="宋体" w:cs="宋体"/>
                <w:color w:val="000000"/>
                <w:spacing w:val="3"/>
                <w:kern w:val="0"/>
                <w:sz w:val="24"/>
              </w:rPr>
              <w:t>集中实践模块</w:t>
            </w:r>
          </w:p>
        </w:tc>
        <w:tc>
          <w:tcPr>
            <w:tcW w:w="173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s="宋体"/>
                <w:color w:val="000000"/>
                <w:sz w:val="24"/>
              </w:rPr>
            </w:pPr>
            <w:r>
              <w:rPr>
                <w:rFonts w:hint="eastAsia" w:ascii="宋体" w:hAnsi="宋体" w:cs="宋体"/>
                <w:color w:val="000000"/>
                <w:spacing w:val="3"/>
                <w:kern w:val="0"/>
                <w:sz w:val="24"/>
              </w:rPr>
              <w:t>第二课堂模块</w:t>
            </w: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s="宋体"/>
                <w:color w:val="000000"/>
                <w:spacing w:val="3"/>
                <w:kern w:val="0"/>
                <w:sz w:val="24"/>
              </w:rPr>
            </w:pPr>
            <w:r>
              <w:rPr>
                <w:rFonts w:hint="eastAsia" w:ascii="宋体" w:hAnsi="宋体" w:cs="宋体"/>
                <w:color w:val="000000"/>
                <w:spacing w:val="3"/>
                <w:kern w:val="0"/>
                <w:sz w:val="24"/>
              </w:rPr>
              <w:t>1</w:t>
            </w:r>
            <w:r>
              <w:rPr>
                <w:rFonts w:ascii="宋体" w:hAnsi="宋体" w:cs="宋体"/>
                <w:color w:val="000000"/>
                <w:spacing w:val="3"/>
                <w:kern w:val="0"/>
                <w:sz w:val="24"/>
              </w:rPr>
              <w:t>+X</w:t>
            </w:r>
            <w:r>
              <w:rPr>
                <w:rFonts w:hint="eastAsia" w:ascii="宋体" w:hAnsi="宋体" w:cs="宋体"/>
                <w:color w:val="000000"/>
                <w:spacing w:val="3"/>
                <w:kern w:val="0"/>
                <w:sz w:val="24"/>
              </w:rPr>
              <w:t>证书</w:t>
            </w: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s="宋体"/>
                <w:color w:val="000000"/>
                <w:sz w:val="24"/>
              </w:rPr>
            </w:pPr>
            <w:r>
              <w:rPr>
                <w:rFonts w:hint="eastAsia" w:ascii="宋体" w:hAnsi="宋体" w:cs="宋体"/>
                <w:color w:val="000000"/>
                <w:spacing w:val="3"/>
                <w:kern w:val="0"/>
                <w:sz w:val="24"/>
              </w:rPr>
              <w:t>合计</w:t>
            </w:r>
          </w:p>
        </w:tc>
      </w:tr>
      <w:tr>
        <w:tblPrEx>
          <w:tblCellMar>
            <w:top w:w="0" w:type="dxa"/>
            <w:left w:w="108" w:type="dxa"/>
            <w:bottom w:w="0" w:type="dxa"/>
            <w:right w:w="108" w:type="dxa"/>
          </w:tblCellMar>
        </w:tblPrEx>
        <w:trPr>
          <w:trHeight w:val="434" w:hRule="atLeast"/>
          <w:jc w:val="center"/>
        </w:trPr>
        <w:tc>
          <w:tcPr>
            <w:tcW w:w="1702"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olor w:val="000000"/>
                <w:kern w:val="0"/>
                <w:sz w:val="24"/>
              </w:rPr>
            </w:pPr>
            <w:r>
              <w:rPr>
                <w:rFonts w:ascii="宋体" w:hAnsi="宋体"/>
                <w:color w:val="000000"/>
                <w:kern w:val="0"/>
                <w:sz w:val="24"/>
              </w:rPr>
              <w:t>40</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olor w:val="000000"/>
                <w:kern w:val="0"/>
                <w:sz w:val="24"/>
              </w:rPr>
            </w:pPr>
            <w:r>
              <w:rPr>
                <w:rFonts w:hint="eastAsia" w:ascii="宋体" w:hAnsi="宋体"/>
                <w:color w:val="000000"/>
                <w:kern w:val="0"/>
                <w:sz w:val="24"/>
              </w:rPr>
              <w:t>55</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olor w:val="000000"/>
                <w:kern w:val="0"/>
                <w:sz w:val="24"/>
              </w:rPr>
            </w:pPr>
            <w:r>
              <w:rPr>
                <w:rFonts w:hint="eastAsia" w:ascii="宋体" w:hAnsi="宋体"/>
                <w:color w:val="000000"/>
                <w:kern w:val="0"/>
                <w:sz w:val="24"/>
              </w:rPr>
              <w:t>40</w:t>
            </w:r>
          </w:p>
        </w:tc>
        <w:tc>
          <w:tcPr>
            <w:tcW w:w="173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olor w:val="000000"/>
                <w:kern w:val="0"/>
                <w:sz w:val="24"/>
              </w:rPr>
            </w:pPr>
            <w:r>
              <w:rPr>
                <w:rFonts w:hint="eastAsia" w:ascii="宋体" w:hAnsi="宋体"/>
                <w:color w:val="000000"/>
                <w:kern w:val="0"/>
                <w:sz w:val="24"/>
              </w:rPr>
              <w:t>1</w:t>
            </w:r>
            <w:r>
              <w:rPr>
                <w:rFonts w:ascii="宋体" w:hAnsi="宋体"/>
                <w:color w:val="000000"/>
                <w:kern w:val="0"/>
                <w:sz w:val="24"/>
              </w:rPr>
              <w:t>0</w:t>
            </w: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olor w:val="000000"/>
                <w:kern w:val="0"/>
                <w:sz w:val="24"/>
              </w:rPr>
            </w:pPr>
            <w:r>
              <w:rPr>
                <w:rFonts w:hint="eastAsia" w:ascii="宋体" w:hAnsi="宋体"/>
                <w:color w:val="000000"/>
                <w:kern w:val="0"/>
                <w:sz w:val="24"/>
              </w:rPr>
              <w:t>4</w:t>
            </w: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ind w:left="-90"/>
              <w:jc w:val="center"/>
              <w:rPr>
                <w:rFonts w:ascii="宋体" w:hAnsi="宋体"/>
                <w:color w:val="000000"/>
                <w:kern w:val="0"/>
                <w:sz w:val="24"/>
              </w:rPr>
            </w:pPr>
            <w:r>
              <w:rPr>
                <w:rFonts w:hint="eastAsia" w:ascii="宋体" w:hAnsi="宋体"/>
                <w:color w:val="000000"/>
                <w:kern w:val="0"/>
                <w:sz w:val="24"/>
              </w:rPr>
              <w:t>14</w:t>
            </w:r>
            <w:r>
              <w:rPr>
                <w:rFonts w:ascii="宋体" w:hAnsi="宋体"/>
                <w:color w:val="000000"/>
                <w:kern w:val="0"/>
                <w:sz w:val="24"/>
              </w:rPr>
              <w:t>9</w:t>
            </w:r>
          </w:p>
        </w:tc>
      </w:tr>
    </w:tbl>
    <w:p>
      <w:pPr>
        <w:overflowPunct w:val="0"/>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（二）第二课堂要求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77" w:type="dxa"/>
          </w:tcPr>
          <w:p>
            <w:pPr>
              <w:widowControl/>
              <w:tabs>
                <w:tab w:val="left" w:pos="1920"/>
              </w:tabs>
              <w:spacing w:line="3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第二课堂课程项目</w:t>
            </w:r>
          </w:p>
        </w:tc>
        <w:tc>
          <w:tcPr>
            <w:tcW w:w="1640" w:type="dxa"/>
          </w:tcPr>
          <w:p>
            <w:pPr>
              <w:widowControl/>
              <w:tabs>
                <w:tab w:val="left" w:pos="1920"/>
              </w:tabs>
              <w:spacing w:line="3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最低学分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177" w:type="dxa"/>
          </w:tcPr>
          <w:p>
            <w:pPr>
              <w:widowControl/>
              <w:tabs>
                <w:tab w:val="left" w:pos="1920"/>
              </w:tabs>
              <w:spacing w:line="3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树德模块</w:t>
            </w:r>
          </w:p>
          <w:p>
            <w:pPr>
              <w:widowControl/>
              <w:tabs>
                <w:tab w:val="left" w:pos="1920"/>
              </w:tabs>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（思想政治与道德素养）（</w:t>
            </w:r>
            <w:r>
              <w:rPr>
                <w:rFonts w:hint="eastAsia" w:ascii="仿宋_GB2312" w:hAnsi="仿宋_GB2312" w:eastAsia="仿宋_GB2312" w:cs="仿宋_GB2312"/>
                <w:b/>
                <w:color w:val="000000"/>
                <w:szCs w:val="21"/>
              </w:rPr>
              <w:t>必修学分</w:t>
            </w:r>
            <w:r>
              <w:rPr>
                <w:rFonts w:hint="eastAsia" w:ascii="仿宋_GB2312" w:hAnsi="仿宋_GB2312" w:eastAsia="仿宋_GB2312" w:cs="仿宋_GB2312"/>
                <w:color w:val="000000"/>
                <w:szCs w:val="21"/>
              </w:rPr>
              <w:t>）</w:t>
            </w:r>
          </w:p>
        </w:tc>
        <w:tc>
          <w:tcPr>
            <w:tcW w:w="1640" w:type="dxa"/>
            <w:vAlign w:val="center"/>
          </w:tcPr>
          <w:p>
            <w:pPr>
              <w:widowControl/>
              <w:tabs>
                <w:tab w:val="left" w:pos="1920"/>
              </w:tabs>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7" w:type="dxa"/>
          </w:tcPr>
          <w:p>
            <w:pPr>
              <w:widowControl/>
              <w:tabs>
                <w:tab w:val="left" w:pos="1920"/>
              </w:tabs>
              <w:spacing w:line="3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增智模块</w:t>
            </w:r>
          </w:p>
          <w:p>
            <w:pPr>
              <w:widowControl/>
              <w:tabs>
                <w:tab w:val="left" w:pos="1920"/>
              </w:tabs>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（学术科技与创新创业、技能大赛、认证培训）（选修学分）</w:t>
            </w:r>
          </w:p>
        </w:tc>
        <w:tc>
          <w:tcPr>
            <w:tcW w:w="1640" w:type="dxa"/>
            <w:vAlign w:val="center"/>
          </w:tcPr>
          <w:p>
            <w:pPr>
              <w:widowControl/>
              <w:tabs>
                <w:tab w:val="left" w:pos="1920"/>
              </w:tabs>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77" w:type="dxa"/>
          </w:tcPr>
          <w:p>
            <w:pPr>
              <w:widowControl/>
              <w:tabs>
                <w:tab w:val="left" w:pos="1920"/>
              </w:tabs>
              <w:spacing w:line="3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强体模块</w:t>
            </w:r>
          </w:p>
          <w:p>
            <w:pPr>
              <w:widowControl/>
              <w:tabs>
                <w:tab w:val="left" w:pos="1920"/>
              </w:tabs>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（强身健体与提升体能素质）</w:t>
            </w:r>
            <w:r>
              <w:rPr>
                <w:rFonts w:hint="eastAsia" w:ascii="仿宋_GB2312" w:hAnsi="仿宋_GB2312" w:eastAsia="仿宋_GB2312" w:cs="仿宋_GB2312"/>
                <w:b/>
                <w:color w:val="000000"/>
                <w:szCs w:val="21"/>
              </w:rPr>
              <w:t>（必修学分）</w:t>
            </w:r>
          </w:p>
        </w:tc>
        <w:tc>
          <w:tcPr>
            <w:tcW w:w="1640" w:type="dxa"/>
            <w:vAlign w:val="center"/>
          </w:tcPr>
          <w:p>
            <w:pPr>
              <w:widowControl/>
              <w:tabs>
                <w:tab w:val="left" w:pos="1920"/>
              </w:tabs>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177" w:type="dxa"/>
          </w:tcPr>
          <w:p>
            <w:pPr>
              <w:widowControl/>
              <w:tabs>
                <w:tab w:val="left" w:pos="1920"/>
              </w:tabs>
              <w:spacing w:line="3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蕴美模块</w:t>
            </w:r>
          </w:p>
          <w:p>
            <w:pPr>
              <w:widowControl/>
              <w:tabs>
                <w:tab w:val="left" w:pos="1920"/>
              </w:tabs>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（人文艺术与身心发展）（选修学分）</w:t>
            </w:r>
          </w:p>
        </w:tc>
        <w:tc>
          <w:tcPr>
            <w:tcW w:w="1640" w:type="dxa"/>
            <w:vAlign w:val="center"/>
          </w:tcPr>
          <w:p>
            <w:pPr>
              <w:widowControl/>
              <w:tabs>
                <w:tab w:val="left" w:pos="1920"/>
              </w:tabs>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7" w:type="dxa"/>
          </w:tcPr>
          <w:p>
            <w:pPr>
              <w:widowControl/>
              <w:tabs>
                <w:tab w:val="left" w:pos="1920"/>
              </w:tabs>
              <w:spacing w:line="300" w:lineRule="exact"/>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育劳模块</w:t>
            </w:r>
          </w:p>
          <w:p>
            <w:pPr>
              <w:widowControl/>
              <w:tabs>
                <w:tab w:val="left" w:pos="1920"/>
              </w:tabs>
              <w:spacing w:line="3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（社会实践与志愿服务）</w:t>
            </w:r>
            <w:r>
              <w:rPr>
                <w:rFonts w:hint="eastAsia" w:ascii="仿宋_GB2312" w:hAnsi="仿宋_GB2312" w:eastAsia="仿宋_GB2312" w:cs="仿宋_GB2312"/>
                <w:b/>
                <w:color w:val="000000"/>
                <w:szCs w:val="21"/>
              </w:rPr>
              <w:t>（必修学分）</w:t>
            </w:r>
          </w:p>
        </w:tc>
        <w:tc>
          <w:tcPr>
            <w:tcW w:w="1640" w:type="dxa"/>
            <w:vAlign w:val="center"/>
          </w:tcPr>
          <w:p>
            <w:pPr>
              <w:widowControl/>
              <w:tabs>
                <w:tab w:val="left" w:pos="1920"/>
              </w:tabs>
              <w:spacing w:line="3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r>
    </w:tbl>
    <w:p>
      <w:pPr>
        <w:spacing w:before="156" w:beforeLines="50" w:after="156" w:afterLines="50"/>
        <w:ind w:left="420" w:left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（三）“X”证书要求或职业资格证书</w:t>
      </w:r>
    </w:p>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鼓励学生取得的本专业领域“1+X”新媒体营销中级证书或数字营销中级证书，  计4分。</w:t>
      </w:r>
    </w:p>
    <w:tbl>
      <w:tblPr>
        <w:tblStyle w:val="11"/>
        <w:tblW w:w="86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29"/>
        <w:gridCol w:w="4755"/>
        <w:gridCol w:w="8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29" w:type="dxa"/>
            <w:shd w:val="clear" w:color="auto" w:fill="auto"/>
            <w:vAlign w:val="center"/>
          </w:tcPr>
          <w:p>
            <w:pPr>
              <w:spacing w:line="360" w:lineRule="auto"/>
              <w:jc w:val="center"/>
              <w:rPr>
                <w:rFonts w:ascii="黑体" w:hAnsi="黑体" w:eastAsia="黑体"/>
                <w:b/>
                <w:color w:val="000000"/>
                <w:sz w:val="24"/>
              </w:rPr>
            </w:pPr>
            <w:r>
              <w:rPr>
                <w:rFonts w:hint="eastAsia" w:ascii="黑体" w:hAnsi="黑体" w:eastAsia="黑体"/>
                <w:b/>
                <w:color w:val="000000"/>
                <w:sz w:val="24"/>
              </w:rPr>
              <w:t>证书名称</w:t>
            </w:r>
          </w:p>
        </w:tc>
        <w:tc>
          <w:tcPr>
            <w:tcW w:w="4755" w:type="dxa"/>
            <w:shd w:val="clear" w:color="auto" w:fill="auto"/>
            <w:vAlign w:val="center"/>
          </w:tcPr>
          <w:p>
            <w:pPr>
              <w:spacing w:line="360" w:lineRule="auto"/>
              <w:jc w:val="center"/>
              <w:rPr>
                <w:rFonts w:ascii="黑体" w:hAnsi="黑体" w:eastAsia="黑体"/>
                <w:b/>
                <w:color w:val="000000"/>
                <w:sz w:val="24"/>
              </w:rPr>
            </w:pPr>
            <w:r>
              <w:rPr>
                <w:rFonts w:hint="eastAsia" w:ascii="黑体" w:hAnsi="黑体" w:eastAsia="黑体"/>
                <w:b/>
                <w:color w:val="000000"/>
                <w:sz w:val="24"/>
              </w:rPr>
              <w:t>发证机构</w:t>
            </w:r>
          </w:p>
        </w:tc>
        <w:tc>
          <w:tcPr>
            <w:tcW w:w="864" w:type="dxa"/>
            <w:shd w:val="clear" w:color="auto" w:fill="auto"/>
            <w:vAlign w:val="center"/>
          </w:tcPr>
          <w:p>
            <w:pPr>
              <w:spacing w:line="360" w:lineRule="auto"/>
              <w:jc w:val="center"/>
              <w:rPr>
                <w:rFonts w:ascii="黑体" w:hAnsi="黑体" w:eastAsia="黑体"/>
                <w:b/>
                <w:color w:val="000000"/>
                <w:sz w:val="24"/>
              </w:rPr>
            </w:pPr>
            <w:r>
              <w:rPr>
                <w:rFonts w:hint="eastAsia" w:ascii="黑体" w:hAnsi="黑体" w:eastAsia="黑体"/>
                <w:b/>
                <w:color w:val="000000"/>
                <w:sz w:val="24"/>
              </w:rPr>
              <w:t>学分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029" w:type="dxa"/>
            <w:shd w:val="clear" w:color="auto" w:fill="auto"/>
            <w:vAlign w:val="center"/>
          </w:tcPr>
          <w:p>
            <w:pPr>
              <w:spacing w:line="360" w:lineRule="auto"/>
              <w:jc w:val="center"/>
              <w:rPr>
                <w:color w:val="000000"/>
                <w:sz w:val="24"/>
                <w:lang w:val="en"/>
              </w:rPr>
            </w:pPr>
            <w:r>
              <w:rPr>
                <w:rFonts w:hint="eastAsia"/>
                <w:color w:val="000000"/>
                <w:sz w:val="24"/>
              </w:rPr>
              <w:t>新媒体营销</w:t>
            </w:r>
            <w:r>
              <w:rPr>
                <w:rFonts w:hint="eastAsia"/>
                <w:color w:val="000000"/>
                <w:sz w:val="24"/>
                <w:lang w:val="en"/>
              </w:rPr>
              <w:t>（中级）</w:t>
            </w:r>
          </w:p>
        </w:tc>
        <w:tc>
          <w:tcPr>
            <w:tcW w:w="4755" w:type="dxa"/>
            <w:shd w:val="clear" w:color="auto" w:fill="auto"/>
            <w:vAlign w:val="center"/>
          </w:tcPr>
          <w:p>
            <w:pPr>
              <w:spacing w:line="360" w:lineRule="auto"/>
              <w:jc w:val="center"/>
              <w:rPr>
                <w:color w:val="000000"/>
                <w:sz w:val="24"/>
                <w:lang w:val="en"/>
              </w:rPr>
            </w:pPr>
            <w:r>
              <w:rPr>
                <w:rFonts w:hint="eastAsia"/>
                <w:color w:val="000000"/>
                <w:sz w:val="24"/>
              </w:rPr>
              <w:t>联创新世纪（北京）品牌管理股份有限公司</w:t>
            </w:r>
          </w:p>
        </w:tc>
        <w:tc>
          <w:tcPr>
            <w:tcW w:w="864" w:type="dxa"/>
            <w:shd w:val="clear" w:color="auto" w:fill="auto"/>
            <w:vAlign w:val="center"/>
          </w:tcPr>
          <w:p>
            <w:pPr>
              <w:spacing w:line="360" w:lineRule="auto"/>
              <w:jc w:val="center"/>
              <w:rPr>
                <w:color w:val="000000"/>
                <w:sz w:val="24"/>
                <w:lang w:val="en"/>
              </w:rPr>
            </w:pPr>
            <w:r>
              <w:rPr>
                <w:rFonts w:hint="eastAsia"/>
                <w:color w:val="000000"/>
                <w:sz w:val="24"/>
                <w:lang w:val="en"/>
              </w:rPr>
              <w:t>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029" w:type="dxa"/>
            <w:shd w:val="clear" w:color="auto" w:fill="auto"/>
            <w:vAlign w:val="center"/>
          </w:tcPr>
          <w:p>
            <w:pPr>
              <w:spacing w:line="360" w:lineRule="auto"/>
              <w:jc w:val="center"/>
              <w:rPr>
                <w:color w:val="000000"/>
                <w:sz w:val="24"/>
                <w:lang w:val="en"/>
              </w:rPr>
            </w:pPr>
            <w:r>
              <w:rPr>
                <w:rFonts w:hint="eastAsia"/>
                <w:color w:val="000000"/>
                <w:sz w:val="24"/>
              </w:rPr>
              <w:t>数字营销</w:t>
            </w:r>
            <w:r>
              <w:rPr>
                <w:rFonts w:hint="eastAsia"/>
                <w:color w:val="000000"/>
                <w:sz w:val="24"/>
                <w:lang w:val="en"/>
              </w:rPr>
              <w:t>（中级）</w:t>
            </w:r>
          </w:p>
        </w:tc>
        <w:tc>
          <w:tcPr>
            <w:tcW w:w="4755" w:type="dxa"/>
            <w:shd w:val="clear" w:color="auto" w:fill="auto"/>
            <w:vAlign w:val="center"/>
          </w:tcPr>
          <w:p>
            <w:pPr>
              <w:spacing w:line="360" w:lineRule="auto"/>
              <w:jc w:val="center"/>
              <w:rPr>
                <w:color w:val="000000"/>
                <w:sz w:val="24"/>
                <w:lang w:val="en"/>
              </w:rPr>
            </w:pPr>
            <w:r>
              <w:rPr>
                <w:rFonts w:hint="eastAsia"/>
                <w:color w:val="000000"/>
                <w:sz w:val="24"/>
                <w:lang w:val="en"/>
              </w:rPr>
              <w:t>厦门优优汇联信息科技股份有限公司</w:t>
            </w:r>
          </w:p>
        </w:tc>
        <w:tc>
          <w:tcPr>
            <w:tcW w:w="864" w:type="dxa"/>
            <w:shd w:val="clear" w:color="auto" w:fill="auto"/>
            <w:vAlign w:val="center"/>
          </w:tcPr>
          <w:p>
            <w:pPr>
              <w:spacing w:line="360" w:lineRule="auto"/>
              <w:jc w:val="center"/>
              <w:rPr>
                <w:color w:val="000000"/>
                <w:sz w:val="24"/>
                <w:lang w:val="en"/>
              </w:rPr>
            </w:pPr>
            <w:r>
              <w:rPr>
                <w:rFonts w:hint="eastAsia"/>
                <w:color w:val="000000"/>
                <w:sz w:val="24"/>
                <w:lang w:val="en"/>
              </w:rPr>
              <w:t>4</w:t>
            </w:r>
          </w:p>
        </w:tc>
      </w:tr>
    </w:tbl>
    <w:p>
      <w:pPr>
        <w:spacing w:line="324" w:lineRule="auto"/>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before="156" w:beforeLines="50" w:after="156" w:afterLines="50"/>
        <w:ind w:left="420" w:left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十一、教学进程安排</w:t>
      </w:r>
    </w:p>
    <w:p>
      <w:pPr>
        <w:pStyle w:val="5"/>
        <w:widowControl w:val="0"/>
        <w:numPr>
          <w:ilvl w:val="0"/>
          <w:numId w:val="3"/>
        </w:numPr>
        <w:spacing w:before="0" w:beforeAutospacing="0" w:after="0" w:afterAutospacing="0" w:line="324" w:lineRule="auto"/>
        <w:ind w:left="-62" w:firstLine="482"/>
        <w:jc w:val="both"/>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公共基础课程教学进程表 </w:t>
      </w:r>
    </w:p>
    <w:tbl>
      <w:tblPr>
        <w:tblStyle w:val="11"/>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34"/>
        <w:gridCol w:w="2407"/>
        <w:gridCol w:w="851"/>
        <w:gridCol w:w="709"/>
        <w:gridCol w:w="708"/>
        <w:gridCol w:w="709"/>
        <w:gridCol w:w="709"/>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类</w:t>
            </w:r>
            <w:r>
              <w:rPr>
                <w:rFonts w:hint="eastAsia" w:ascii="仿宋_GB2312" w:hAnsi="Batang" w:eastAsia="仿宋_GB2312"/>
                <w:color w:val="000000"/>
                <w:kern w:val="2"/>
                <w:sz w:val="21"/>
                <w:szCs w:val="21"/>
              </w:rPr>
              <w:t>型</w:t>
            </w: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序</w:t>
            </w:r>
            <w:r>
              <w:rPr>
                <w:rFonts w:hint="eastAsia" w:ascii="仿宋_GB2312" w:eastAsia="仿宋_GB2312"/>
                <w:color w:val="000000"/>
                <w:kern w:val="2"/>
                <w:sz w:val="21"/>
                <w:szCs w:val="21"/>
              </w:rPr>
              <w:t>号</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w:t>
            </w:r>
            <w:r>
              <w:rPr>
                <w:rFonts w:hint="eastAsia" w:ascii="仿宋_GB2312" w:hAnsi="Batang" w:eastAsia="仿宋_GB2312"/>
                <w:color w:val="000000"/>
                <w:kern w:val="2"/>
                <w:sz w:val="21"/>
                <w:szCs w:val="21"/>
              </w:rPr>
              <w:t>程名</w:t>
            </w:r>
            <w:r>
              <w:rPr>
                <w:rFonts w:hint="eastAsia" w:ascii="仿宋_GB2312" w:eastAsia="仿宋_GB2312"/>
                <w:color w:val="000000"/>
                <w:kern w:val="2"/>
                <w:sz w:val="21"/>
                <w:szCs w:val="21"/>
              </w:rPr>
              <w:t>称</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计划</w:t>
            </w:r>
          </w:p>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课时</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理</w:t>
            </w:r>
            <w:r>
              <w:rPr>
                <w:rFonts w:hint="eastAsia" w:ascii="仿宋_GB2312" w:eastAsia="仿宋_GB2312"/>
                <w:color w:val="000000"/>
                <w:kern w:val="2"/>
                <w:sz w:val="21"/>
                <w:szCs w:val="21"/>
              </w:rPr>
              <w:t>论</w:t>
            </w:r>
          </w:p>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课时</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实践</w:t>
            </w:r>
          </w:p>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课时</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eastAsia="仿宋_GB2312"/>
                <w:color w:val="000000"/>
                <w:kern w:val="2"/>
                <w:sz w:val="21"/>
                <w:szCs w:val="21"/>
              </w:rPr>
            </w:pPr>
            <w:r>
              <w:rPr>
                <w:rFonts w:hint="eastAsia" w:ascii="仿宋_GB2312" w:eastAsia="仿宋_GB2312"/>
                <w:color w:val="000000"/>
                <w:kern w:val="2"/>
                <w:sz w:val="21"/>
                <w:szCs w:val="21"/>
              </w:rPr>
              <w:t>开设</w:t>
            </w:r>
          </w:p>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期</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r>
              <w:rPr>
                <w:rFonts w:hint="eastAsia" w:ascii="仿宋_GB2312" w:hAnsi="Batang" w:eastAsia="仿宋_GB2312"/>
                <w:color w:val="000000"/>
                <w:szCs w:val="21"/>
              </w:rPr>
              <w:t>考核形式</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周</w:t>
            </w:r>
            <w:r>
              <w:rPr>
                <w:rFonts w:hint="eastAsia" w:ascii="仿宋_GB2312" w:eastAsia="仿宋_GB2312"/>
                <w:color w:val="000000"/>
                <w:kern w:val="2"/>
                <w:sz w:val="21"/>
                <w:szCs w:val="21"/>
              </w:rPr>
              <w:t>学时</w:t>
            </w:r>
            <w:r>
              <w:rPr>
                <w:rFonts w:hint="eastAsia" w:ascii="仿宋_GB2312" w:hAnsi="Batang" w:eastAsia="仿宋_GB2312"/>
                <w:color w:val="000000"/>
                <w:kern w:val="2"/>
                <w:sz w:val="21"/>
                <w:szCs w:val="21"/>
              </w:rPr>
              <w:t>/</w:t>
            </w: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分</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eastAsia="仿宋_GB2312"/>
                <w:color w:val="000000"/>
                <w:kern w:val="2"/>
                <w:sz w:val="21"/>
                <w:szCs w:val="21"/>
              </w:rPr>
              <w:t>备</w:t>
            </w:r>
            <w:r>
              <w:rPr>
                <w:rFonts w:hint="eastAsia" w:ascii="仿宋_GB2312" w:hAnsi="Batang" w:eastAsia="仿宋_GB2312"/>
                <w:color w:val="000000"/>
                <w:kern w:val="2"/>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必修</w:t>
            </w:r>
            <w:r>
              <w:rPr>
                <w:rFonts w:hint="eastAsia" w:ascii="仿宋_GB2312" w:eastAsia="仿宋_GB2312"/>
                <w:color w:val="000000"/>
                <w:kern w:val="2"/>
                <w:sz w:val="21"/>
                <w:szCs w:val="21"/>
              </w:rPr>
              <w:t>课</w:t>
            </w: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思想道德</w:t>
            </w:r>
            <w:r>
              <w:rPr>
                <w:rFonts w:hint="eastAsia" w:ascii="仿宋_GB2312" w:eastAsia="仿宋_GB2312"/>
                <w:color w:val="000000"/>
                <w:kern w:val="2"/>
                <w:sz w:val="21"/>
                <w:szCs w:val="21"/>
              </w:rPr>
              <w:t>与</w:t>
            </w:r>
            <w:r>
              <w:rPr>
                <w:rFonts w:hint="eastAsia" w:ascii="仿宋_GB2312" w:hAnsi="Batang" w:eastAsia="仿宋_GB2312"/>
                <w:color w:val="000000"/>
                <w:kern w:val="2"/>
                <w:sz w:val="21"/>
                <w:szCs w:val="21"/>
              </w:rPr>
              <w:t>法治</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14</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含社</w:t>
            </w:r>
            <w:r>
              <w:rPr>
                <w:rFonts w:hint="eastAsia" w:ascii="仿宋_GB2312" w:eastAsia="仿宋_GB2312"/>
                <w:color w:val="000000"/>
                <w:kern w:val="2"/>
                <w:sz w:val="21"/>
                <w:szCs w:val="21"/>
              </w:rPr>
              <w:t>会责</w:t>
            </w:r>
            <w:r>
              <w:rPr>
                <w:rFonts w:hint="eastAsia" w:ascii="仿宋_GB2312" w:hAnsi="Batang" w:eastAsia="仿宋_GB2312"/>
                <w:color w:val="000000"/>
                <w:kern w:val="2"/>
                <w:sz w:val="21"/>
                <w:szCs w:val="21"/>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军</w:t>
            </w:r>
            <w:r>
              <w:rPr>
                <w:rFonts w:hint="eastAsia" w:ascii="仿宋_GB2312" w:hAnsi="Batang" w:eastAsia="仿宋_GB2312"/>
                <w:color w:val="000000"/>
                <w:kern w:val="2"/>
                <w:sz w:val="21"/>
                <w:szCs w:val="21"/>
              </w:rPr>
              <w:t>事</w:t>
            </w:r>
            <w:r>
              <w:rPr>
                <w:rFonts w:hint="eastAsia" w:ascii="仿宋_GB2312" w:eastAsia="仿宋_GB2312"/>
                <w:color w:val="000000"/>
                <w:kern w:val="2"/>
                <w:sz w:val="21"/>
                <w:szCs w:val="21"/>
              </w:rPr>
              <w:t>训练</w:t>
            </w:r>
            <w:r>
              <w:rPr>
                <w:rFonts w:hint="eastAsia" w:ascii="仿宋_GB2312" w:hAnsi="Batang" w:eastAsia="仿宋_GB2312"/>
                <w:color w:val="000000"/>
                <w:kern w:val="2"/>
                <w:sz w:val="21"/>
                <w:szCs w:val="21"/>
              </w:rPr>
              <w:t>及理</w:t>
            </w:r>
            <w:r>
              <w:rPr>
                <w:rFonts w:hint="eastAsia" w:ascii="仿宋_GB2312" w:eastAsia="仿宋_GB2312"/>
                <w:color w:val="000000"/>
                <w:kern w:val="2"/>
                <w:sz w:val="21"/>
                <w:szCs w:val="21"/>
              </w:rPr>
              <w:t>论教</w:t>
            </w:r>
            <w:r>
              <w:rPr>
                <w:rFonts w:hint="eastAsia" w:ascii="仿宋_GB2312" w:hAnsi="Batang" w:eastAsia="仿宋_GB2312"/>
                <w:color w:val="000000"/>
                <w:kern w:val="2"/>
                <w:sz w:val="21"/>
                <w:szCs w:val="21"/>
              </w:rPr>
              <w:t>程</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毛</w:t>
            </w:r>
            <w:r>
              <w:rPr>
                <w:rFonts w:hint="eastAsia" w:ascii="仿宋_GB2312" w:eastAsia="仿宋_GB2312"/>
                <w:color w:val="000000"/>
                <w:kern w:val="2"/>
                <w:sz w:val="21"/>
                <w:szCs w:val="21"/>
              </w:rPr>
              <w:t>泽东</w:t>
            </w:r>
            <w:r>
              <w:rPr>
                <w:rFonts w:hint="eastAsia" w:ascii="仿宋_GB2312" w:hAnsi="Batang" w:eastAsia="仿宋_GB2312"/>
                <w:color w:val="000000"/>
                <w:kern w:val="2"/>
                <w:sz w:val="21"/>
                <w:szCs w:val="21"/>
              </w:rPr>
              <w:t>思想和中</w:t>
            </w:r>
            <w:r>
              <w:rPr>
                <w:rFonts w:hint="eastAsia" w:ascii="仿宋_GB2312" w:eastAsia="仿宋_GB2312"/>
                <w:color w:val="000000"/>
                <w:kern w:val="2"/>
                <w:sz w:val="21"/>
                <w:szCs w:val="21"/>
              </w:rPr>
              <w:t>国</w:t>
            </w:r>
            <w:r>
              <w:rPr>
                <w:rFonts w:hint="eastAsia" w:ascii="仿宋_GB2312" w:hAnsi="Batang" w:eastAsia="仿宋_GB2312"/>
                <w:color w:val="000000"/>
                <w:kern w:val="2"/>
                <w:sz w:val="21"/>
                <w:szCs w:val="21"/>
              </w:rPr>
              <w:t>特色社</w:t>
            </w:r>
            <w:r>
              <w:rPr>
                <w:rFonts w:hint="eastAsia" w:ascii="仿宋_GB2312" w:eastAsia="仿宋_GB2312"/>
                <w:color w:val="000000"/>
                <w:kern w:val="2"/>
                <w:sz w:val="21"/>
                <w:szCs w:val="21"/>
              </w:rPr>
              <w:t>会</w:t>
            </w:r>
            <w:r>
              <w:rPr>
                <w:rFonts w:hint="eastAsia" w:ascii="仿宋_GB2312" w:hAnsi="Batang" w:eastAsia="仿宋_GB2312"/>
                <w:color w:val="000000"/>
                <w:kern w:val="2"/>
                <w:sz w:val="21"/>
                <w:szCs w:val="21"/>
              </w:rPr>
              <w:t>主</w:t>
            </w:r>
            <w:r>
              <w:rPr>
                <w:rFonts w:hint="eastAsia" w:ascii="仿宋_GB2312" w:eastAsia="仿宋_GB2312"/>
                <w:color w:val="000000"/>
                <w:kern w:val="2"/>
                <w:sz w:val="21"/>
                <w:szCs w:val="21"/>
              </w:rPr>
              <w:t>义</w:t>
            </w:r>
            <w:r>
              <w:rPr>
                <w:rFonts w:hint="eastAsia" w:ascii="仿宋_GB2312" w:hAnsi="Batang" w:eastAsia="仿宋_GB2312"/>
                <w:color w:val="000000"/>
                <w:kern w:val="2"/>
                <w:sz w:val="21"/>
                <w:szCs w:val="21"/>
              </w:rPr>
              <w:t>理</w:t>
            </w:r>
            <w:r>
              <w:rPr>
                <w:rFonts w:hint="eastAsia" w:ascii="仿宋_GB2312" w:eastAsia="仿宋_GB2312"/>
                <w:color w:val="000000"/>
                <w:kern w:val="2"/>
                <w:sz w:val="21"/>
                <w:szCs w:val="21"/>
              </w:rPr>
              <w:t>论</w:t>
            </w:r>
            <w:r>
              <w:rPr>
                <w:rFonts w:hint="eastAsia" w:ascii="仿宋_GB2312" w:hAnsi="Batang" w:eastAsia="仿宋_GB2312"/>
                <w:color w:val="000000"/>
                <w:kern w:val="2"/>
                <w:sz w:val="21"/>
                <w:szCs w:val="21"/>
              </w:rPr>
              <w:t>体系</w:t>
            </w:r>
            <w:r>
              <w:rPr>
                <w:rFonts w:hint="eastAsia" w:ascii="仿宋_GB2312" w:eastAsia="仿宋_GB2312"/>
                <w:color w:val="000000"/>
                <w:kern w:val="2"/>
                <w:sz w:val="21"/>
                <w:szCs w:val="21"/>
              </w:rPr>
              <w:t>概论</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3/2</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融入四史教育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形</w:t>
            </w:r>
            <w:r>
              <w:rPr>
                <w:rFonts w:hint="eastAsia" w:ascii="仿宋_GB2312" w:eastAsia="仿宋_GB2312"/>
                <w:color w:val="000000"/>
                <w:kern w:val="2"/>
                <w:sz w:val="21"/>
                <w:szCs w:val="21"/>
              </w:rPr>
              <w:t>势与</w:t>
            </w:r>
            <w:r>
              <w:rPr>
                <w:rFonts w:hint="eastAsia" w:ascii="仿宋_GB2312" w:hAnsi="Batang" w:eastAsia="仿宋_GB2312"/>
                <w:color w:val="000000"/>
                <w:kern w:val="2"/>
                <w:sz w:val="21"/>
                <w:szCs w:val="21"/>
              </w:rPr>
              <w:t>政策</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含</w:t>
            </w:r>
            <w:r>
              <w:rPr>
                <w:rFonts w:hint="eastAsia" w:ascii="仿宋_GB2312" w:eastAsia="仿宋_GB2312"/>
                <w:color w:val="000000"/>
                <w:kern w:val="2"/>
                <w:sz w:val="21"/>
                <w:szCs w:val="21"/>
              </w:rPr>
              <w:t>国</w:t>
            </w:r>
            <w:r>
              <w:rPr>
                <w:rFonts w:hint="eastAsia" w:ascii="仿宋_GB2312" w:hAnsi="Batang" w:eastAsia="仿宋_GB2312"/>
                <w:color w:val="000000"/>
                <w:kern w:val="2"/>
                <w:sz w:val="21"/>
                <w:szCs w:val="21"/>
              </w:rPr>
              <w:t>家安全</w:t>
            </w:r>
            <w:r>
              <w:rPr>
                <w:rFonts w:hint="eastAsia" w:ascii="仿宋_GB2312" w:eastAsia="仿宋_GB2312"/>
                <w:color w:val="000000"/>
                <w:kern w:val="2"/>
                <w:sz w:val="21"/>
                <w:szCs w:val="21"/>
              </w:rPr>
              <w:t>教</w:t>
            </w:r>
            <w:r>
              <w:rPr>
                <w:rFonts w:hint="eastAsia" w:ascii="仿宋_GB2312" w:hAnsi="Batang" w:eastAsia="仿宋_GB2312"/>
                <w:color w:val="000000"/>
                <w:kern w:val="2"/>
                <w:sz w:val="21"/>
                <w:szCs w:val="21"/>
              </w:rPr>
              <w:t>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2407"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劳动教育</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1或2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w:t>
            </w:r>
          </w:p>
        </w:tc>
        <w:tc>
          <w:tcPr>
            <w:tcW w:w="2407"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eastAsia="仿宋_GB2312"/>
                <w:color w:val="000000"/>
                <w:kern w:val="2"/>
                <w:sz w:val="21"/>
                <w:szCs w:val="21"/>
              </w:rPr>
            </w:pPr>
            <w:r>
              <w:rPr>
                <w:rFonts w:hint="eastAsia" w:ascii="仿宋_GB2312" w:eastAsia="仿宋_GB2312"/>
                <w:color w:val="000000"/>
                <w:kern w:val="2"/>
                <w:sz w:val="21"/>
                <w:szCs w:val="21"/>
              </w:rPr>
              <w:t>习近平新时代中国特色社会主义思想概论</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7</w:t>
            </w:r>
          </w:p>
        </w:tc>
        <w:tc>
          <w:tcPr>
            <w:tcW w:w="2407"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体育</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28+36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含体能</w:t>
            </w:r>
            <w:r>
              <w:rPr>
                <w:rFonts w:hint="eastAsia" w:ascii="仿宋_GB2312" w:eastAsia="仿宋_GB2312"/>
                <w:color w:val="000000"/>
                <w:kern w:val="2"/>
                <w:sz w:val="21"/>
                <w:szCs w:val="21"/>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8</w:t>
            </w:r>
          </w:p>
        </w:tc>
        <w:tc>
          <w:tcPr>
            <w:tcW w:w="2407"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职业发展与就</w:t>
            </w:r>
            <w:r>
              <w:rPr>
                <w:rFonts w:hint="eastAsia" w:ascii="仿宋_GB2312" w:eastAsia="仿宋_GB2312"/>
                <w:color w:val="000000"/>
                <w:kern w:val="2"/>
                <w:sz w:val="21"/>
                <w:szCs w:val="21"/>
              </w:rPr>
              <w:t>业</w:t>
            </w:r>
            <w:r>
              <w:rPr>
                <w:rFonts w:hint="eastAsia" w:ascii="仿宋_GB2312" w:hAnsi="Batang" w:eastAsia="仿宋_GB2312"/>
                <w:color w:val="000000"/>
                <w:kern w:val="2"/>
                <w:sz w:val="21"/>
                <w:szCs w:val="21"/>
              </w:rPr>
              <w:t>指</w:t>
            </w:r>
            <w:r>
              <w:rPr>
                <w:rFonts w:hint="eastAsia" w:ascii="仿宋_GB2312" w:eastAsia="仿宋_GB2312"/>
                <w:color w:val="000000"/>
                <w:kern w:val="2"/>
                <w:sz w:val="21"/>
                <w:szCs w:val="21"/>
              </w:rPr>
              <w:t>导</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26</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126"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9</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心理健康</w:t>
            </w:r>
            <w:r>
              <w:rPr>
                <w:rFonts w:hint="eastAsia" w:ascii="仿宋_GB2312" w:eastAsia="仿宋_GB2312"/>
                <w:color w:val="000000"/>
                <w:kern w:val="2"/>
                <w:sz w:val="21"/>
                <w:szCs w:val="21"/>
              </w:rPr>
              <w:t>教</w:t>
            </w:r>
            <w:r>
              <w:rPr>
                <w:rFonts w:hint="eastAsia" w:ascii="仿宋_GB2312" w:hAnsi="Batang" w:eastAsia="仿宋_GB2312"/>
                <w:color w:val="000000"/>
                <w:kern w:val="2"/>
                <w:sz w:val="21"/>
                <w:szCs w:val="21"/>
              </w:rPr>
              <w:t>育</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126"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信息技术</w:t>
            </w:r>
            <w:r>
              <w:rPr>
                <w:rFonts w:hint="eastAsia" w:ascii="仿宋_GB2312" w:hAnsi="Batang" w:eastAsia="仿宋_GB2312"/>
                <w:color w:val="000000"/>
                <w:kern w:val="2"/>
                <w:sz w:val="21"/>
                <w:szCs w:val="21"/>
              </w:rPr>
              <w:t>基</w:t>
            </w:r>
            <w:r>
              <w:rPr>
                <w:rFonts w:hint="eastAsia" w:ascii="仿宋_GB2312" w:eastAsia="仿宋_GB2312"/>
                <w:color w:val="000000"/>
                <w:kern w:val="2"/>
                <w:sz w:val="21"/>
                <w:szCs w:val="21"/>
              </w:rPr>
              <w:t>础</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64</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2941"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ind w:firstLine="1155" w:firstLineChars="550"/>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小</w:t>
            </w:r>
            <w:r>
              <w:rPr>
                <w:rFonts w:hint="eastAsia" w:ascii="仿宋_GB2312" w:eastAsia="仿宋_GB2312"/>
                <w:color w:val="000000"/>
                <w:kern w:val="2"/>
                <w:sz w:val="21"/>
                <w:szCs w:val="21"/>
              </w:rPr>
              <w:t>计</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452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200</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252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26</w:t>
            </w:r>
          </w:p>
        </w:tc>
        <w:tc>
          <w:tcPr>
            <w:tcW w:w="2126"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限定</w:t>
            </w:r>
            <w:r>
              <w:rPr>
                <w:rFonts w:hint="eastAsia" w:ascii="仿宋_GB2312" w:eastAsia="仿宋_GB2312"/>
                <w:color w:val="000000"/>
                <w:kern w:val="2"/>
                <w:sz w:val="21"/>
                <w:szCs w:val="21"/>
              </w:rPr>
              <w:t>选</w:t>
            </w:r>
            <w:r>
              <w:rPr>
                <w:rFonts w:hint="eastAsia" w:ascii="仿宋_GB2312" w:hAnsi="Batang" w:eastAsia="仿宋_GB2312"/>
                <w:color w:val="000000"/>
                <w:kern w:val="2"/>
                <w:sz w:val="21"/>
                <w:szCs w:val="21"/>
              </w:rPr>
              <w:t>修</w:t>
            </w:r>
            <w:r>
              <w:rPr>
                <w:rFonts w:hint="eastAsia" w:ascii="仿宋_GB2312" w:eastAsia="仿宋_GB2312"/>
                <w:color w:val="000000"/>
                <w:kern w:val="2"/>
                <w:sz w:val="21"/>
                <w:szCs w:val="21"/>
              </w:rPr>
              <w:t>课</w:t>
            </w: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高</w:t>
            </w:r>
            <w:r>
              <w:rPr>
                <w:rFonts w:hint="eastAsia" w:ascii="仿宋_GB2312" w:eastAsia="仿宋_GB2312"/>
                <w:b/>
                <w:color w:val="000000"/>
                <w:kern w:val="2"/>
                <w:sz w:val="21"/>
                <w:szCs w:val="21"/>
              </w:rPr>
              <w:t>职数学</w:t>
            </w:r>
            <w:r>
              <w:rPr>
                <w:rFonts w:hint="eastAsia" w:ascii="仿宋_GB2312" w:hAnsi="Batang" w:eastAsia="仿宋_GB2312"/>
                <w:b/>
                <w:color w:val="000000"/>
                <w:kern w:val="2"/>
                <w:sz w:val="21"/>
                <w:szCs w:val="21"/>
              </w:rPr>
              <w:t>基</w:t>
            </w:r>
            <w:r>
              <w:rPr>
                <w:rFonts w:hint="eastAsia" w:ascii="仿宋_GB2312" w:eastAsia="仿宋_GB2312"/>
                <w:b/>
                <w:color w:val="000000"/>
                <w:kern w:val="2"/>
                <w:sz w:val="21"/>
                <w:szCs w:val="21"/>
              </w:rPr>
              <w:t>础</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42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42</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课程一组：1.本</w:t>
            </w:r>
            <w:r>
              <w:rPr>
                <w:rFonts w:hint="eastAsia" w:ascii="仿宋_GB2312" w:eastAsia="仿宋_GB2312"/>
                <w:color w:val="000000"/>
                <w:kern w:val="2"/>
                <w:sz w:val="21"/>
                <w:szCs w:val="21"/>
              </w:rPr>
              <w:t>专业</w:t>
            </w:r>
            <w:r>
              <w:rPr>
                <w:rFonts w:hint="eastAsia" w:ascii="仿宋_GB2312" w:hAnsi="Batang" w:eastAsia="仿宋_GB2312"/>
                <w:color w:val="000000"/>
                <w:kern w:val="2"/>
                <w:sz w:val="21"/>
                <w:szCs w:val="21"/>
              </w:rPr>
              <w:t>根据培</w:t>
            </w:r>
            <w:r>
              <w:rPr>
                <w:rFonts w:hint="eastAsia" w:ascii="仿宋_GB2312" w:eastAsia="仿宋_GB2312"/>
                <w:color w:val="000000"/>
                <w:kern w:val="2"/>
                <w:sz w:val="21"/>
                <w:szCs w:val="21"/>
              </w:rPr>
              <w:t>养</w:t>
            </w:r>
            <w:r>
              <w:rPr>
                <w:rFonts w:hint="eastAsia" w:ascii="仿宋_GB2312" w:hAnsi="Batang" w:eastAsia="仿宋_GB2312"/>
                <w:color w:val="000000"/>
                <w:kern w:val="2"/>
                <w:sz w:val="21"/>
                <w:szCs w:val="21"/>
              </w:rPr>
              <w:t>目</w:t>
            </w:r>
            <w:r>
              <w:rPr>
                <w:rFonts w:hint="eastAsia" w:ascii="仿宋_GB2312" w:eastAsia="仿宋_GB2312"/>
                <w:color w:val="000000"/>
                <w:kern w:val="2"/>
                <w:sz w:val="21"/>
                <w:szCs w:val="21"/>
              </w:rPr>
              <w:t>标自主</w:t>
            </w:r>
            <w:r>
              <w:rPr>
                <w:rFonts w:hint="eastAsia" w:ascii="仿宋_GB2312" w:hAnsi="Batang" w:eastAsia="仿宋_GB2312"/>
                <w:color w:val="000000"/>
                <w:kern w:val="2"/>
                <w:sz w:val="21"/>
                <w:szCs w:val="21"/>
              </w:rPr>
              <w:t>需要</w:t>
            </w:r>
            <w:r>
              <w:rPr>
                <w:rFonts w:hint="eastAsia" w:ascii="仿宋_GB2312" w:eastAsia="仿宋_GB2312"/>
                <w:color w:val="000000"/>
                <w:kern w:val="2"/>
                <w:sz w:val="21"/>
                <w:szCs w:val="21"/>
              </w:rPr>
              <w:t>选择</w:t>
            </w:r>
            <w:r>
              <w:rPr>
                <w:rFonts w:hint="eastAsia" w:ascii="仿宋_GB2312" w:eastAsia="仿宋_GB2312"/>
                <w:b/>
                <w:color w:val="000000"/>
                <w:kern w:val="2"/>
                <w:sz w:val="21"/>
                <w:szCs w:val="21"/>
              </w:rPr>
              <w:t>高职数学基础、高职语文、实用英语（2）、信息技术拓展课</w:t>
            </w:r>
            <w:r>
              <w:rPr>
                <w:rFonts w:hint="eastAsia" w:ascii="仿宋_GB2312" w:eastAsia="仿宋_GB2312"/>
                <w:color w:val="000000"/>
                <w:kern w:val="2"/>
                <w:sz w:val="21"/>
                <w:szCs w:val="21"/>
              </w:rPr>
              <w:t>。2、</w:t>
            </w:r>
            <w:r>
              <w:rPr>
                <w:rFonts w:hint="eastAsia" w:ascii="仿宋_GB2312" w:hAnsi="Batang" w:eastAsia="仿宋_GB2312"/>
                <w:color w:val="000000"/>
                <w:kern w:val="2"/>
                <w:sz w:val="21"/>
                <w:szCs w:val="21"/>
              </w:rPr>
              <w:t>不少于108</w:t>
            </w:r>
            <w:r>
              <w:rPr>
                <w:rFonts w:hint="eastAsia" w:ascii="仿宋_GB2312" w:eastAsia="仿宋_GB2312"/>
                <w:color w:val="000000"/>
                <w:kern w:val="2"/>
                <w:sz w:val="21"/>
                <w:szCs w:val="21"/>
              </w:rPr>
              <w:t>学时</w:t>
            </w:r>
            <w:r>
              <w:rPr>
                <w:rFonts w:hint="eastAsia" w:ascii="仿宋_GB2312" w:hAnsi="Batang" w:eastAsia="仿宋_GB2312"/>
                <w:color w:val="000000"/>
                <w:kern w:val="2"/>
                <w:sz w:val="21"/>
                <w:szCs w:val="21"/>
              </w:rPr>
              <w:t>或</w:t>
            </w:r>
            <w:r>
              <w:rPr>
                <w:rFonts w:hint="eastAsia" w:ascii="仿宋_GB2312" w:eastAsia="仿宋_GB2312"/>
                <w:color w:val="000000"/>
                <w:kern w:val="2"/>
                <w:sz w:val="21"/>
                <w:szCs w:val="21"/>
              </w:rPr>
              <w:t>获</w:t>
            </w:r>
            <w:r>
              <w:rPr>
                <w:rFonts w:hint="eastAsia" w:ascii="仿宋_GB2312" w:hAnsi="Batang" w:eastAsia="仿宋_GB2312"/>
                <w:color w:val="000000"/>
                <w:kern w:val="2"/>
                <w:sz w:val="21"/>
                <w:szCs w:val="21"/>
              </w:rPr>
              <w:t>6</w:t>
            </w: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11</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高</w:t>
            </w:r>
            <w:r>
              <w:rPr>
                <w:rFonts w:hint="eastAsia" w:ascii="仿宋_GB2312" w:eastAsia="仿宋_GB2312"/>
                <w:color w:val="000000"/>
                <w:kern w:val="2"/>
                <w:sz w:val="21"/>
                <w:szCs w:val="21"/>
              </w:rPr>
              <w:t>职应</w:t>
            </w:r>
            <w:r>
              <w:rPr>
                <w:rFonts w:hint="eastAsia" w:ascii="仿宋_GB2312" w:hAnsi="Batang" w:eastAsia="仿宋_GB2312"/>
                <w:color w:val="000000"/>
                <w:kern w:val="2"/>
                <w:sz w:val="21"/>
                <w:szCs w:val="21"/>
              </w:rPr>
              <w:t>用</w:t>
            </w:r>
            <w:r>
              <w:rPr>
                <w:rFonts w:hint="eastAsia" w:ascii="仿宋_GB2312" w:eastAsia="仿宋_GB2312"/>
                <w:color w:val="000000"/>
                <w:kern w:val="2"/>
                <w:sz w:val="21"/>
                <w:szCs w:val="21"/>
              </w:rPr>
              <w:t>数学</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考试</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高</w:t>
            </w:r>
            <w:r>
              <w:rPr>
                <w:rFonts w:hint="eastAsia" w:ascii="仿宋_GB2312" w:eastAsia="仿宋_GB2312"/>
                <w:b/>
                <w:color w:val="000000"/>
                <w:kern w:val="2"/>
                <w:sz w:val="21"/>
                <w:szCs w:val="21"/>
              </w:rPr>
              <w:t>职语</w:t>
            </w:r>
            <w:r>
              <w:rPr>
                <w:rFonts w:hint="eastAsia" w:ascii="仿宋_GB2312" w:hAnsi="Batang" w:eastAsia="仿宋_GB2312"/>
                <w:b/>
                <w:color w:val="000000"/>
                <w:kern w:val="2"/>
                <w:sz w:val="21"/>
                <w:szCs w:val="21"/>
              </w:rPr>
              <w:t>文</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13</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普通</w:t>
            </w:r>
            <w:r>
              <w:rPr>
                <w:rFonts w:hint="eastAsia" w:ascii="仿宋_GB2312" w:eastAsia="仿宋_GB2312"/>
                <w:color w:val="000000"/>
                <w:kern w:val="2"/>
                <w:sz w:val="21"/>
                <w:szCs w:val="21"/>
              </w:rPr>
              <w:t>话</w:t>
            </w:r>
            <w:r>
              <w:rPr>
                <w:rFonts w:hint="eastAsia" w:ascii="仿宋_GB2312" w:hAnsi="Batang" w:eastAsia="仿宋_GB2312"/>
                <w:color w:val="000000"/>
                <w:kern w:val="2"/>
                <w:sz w:val="21"/>
                <w:szCs w:val="21"/>
              </w:rPr>
              <w:t>水平培</w:t>
            </w:r>
            <w:r>
              <w:rPr>
                <w:rFonts w:hint="eastAsia" w:ascii="仿宋_GB2312" w:eastAsia="仿宋_GB2312"/>
                <w:color w:val="000000"/>
                <w:kern w:val="2"/>
                <w:sz w:val="21"/>
                <w:szCs w:val="21"/>
              </w:rPr>
              <w:t>训</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6</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14</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实</w:t>
            </w:r>
            <w:r>
              <w:rPr>
                <w:rFonts w:hint="eastAsia" w:ascii="仿宋_GB2312" w:hAnsi="Batang" w:eastAsia="仿宋_GB2312"/>
                <w:color w:val="000000"/>
                <w:kern w:val="2"/>
                <w:sz w:val="21"/>
                <w:szCs w:val="21"/>
              </w:rPr>
              <w:t>用英</w:t>
            </w:r>
            <w:r>
              <w:rPr>
                <w:rFonts w:hint="eastAsia" w:ascii="仿宋_GB2312" w:eastAsia="仿宋_GB2312"/>
                <w:color w:val="000000"/>
                <w:kern w:val="2"/>
                <w:sz w:val="21"/>
                <w:szCs w:val="21"/>
              </w:rPr>
              <w:t>语</w:t>
            </w:r>
            <w:r>
              <w:rPr>
                <w:rFonts w:hint="eastAsia" w:ascii="仿宋_GB2312" w:hAnsi="Batang" w:eastAsia="仿宋_GB2312"/>
                <w:color w:val="000000"/>
                <w:kern w:val="2"/>
                <w:sz w:val="21"/>
                <w:szCs w:val="21"/>
              </w:rPr>
              <w:t>（1）</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Cs/>
                <w:color w:val="000000"/>
                <w:kern w:val="2"/>
                <w:sz w:val="21"/>
                <w:szCs w:val="21"/>
              </w:rPr>
            </w:pPr>
            <w:r>
              <w:rPr>
                <w:rFonts w:hint="eastAsia" w:ascii="仿宋_GB2312" w:hAnsi="Batang" w:eastAsia="仿宋_GB2312"/>
                <w:bCs/>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15</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eastAsia="仿宋_GB2312"/>
                <w:b/>
                <w:color w:val="000000"/>
                <w:kern w:val="2"/>
                <w:sz w:val="21"/>
                <w:szCs w:val="21"/>
              </w:rPr>
              <w:t>实</w:t>
            </w:r>
            <w:r>
              <w:rPr>
                <w:rFonts w:hint="eastAsia" w:ascii="仿宋_GB2312" w:hAnsi="Batang" w:eastAsia="仿宋_GB2312"/>
                <w:b/>
                <w:color w:val="000000"/>
                <w:kern w:val="2"/>
                <w:sz w:val="21"/>
                <w:szCs w:val="21"/>
              </w:rPr>
              <w:t>用英</w:t>
            </w:r>
            <w:r>
              <w:rPr>
                <w:rFonts w:hint="eastAsia" w:ascii="仿宋_GB2312" w:eastAsia="仿宋_GB2312"/>
                <w:b/>
                <w:color w:val="000000"/>
                <w:kern w:val="2"/>
                <w:sz w:val="21"/>
                <w:szCs w:val="21"/>
              </w:rPr>
              <w:t>语</w:t>
            </w:r>
            <w:r>
              <w:rPr>
                <w:rFonts w:hint="eastAsia" w:ascii="仿宋_GB2312" w:hAnsi="Batang" w:eastAsia="仿宋_GB2312"/>
                <w:b/>
                <w:color w:val="000000"/>
                <w:kern w:val="2"/>
                <w:sz w:val="21"/>
                <w:szCs w:val="21"/>
              </w:rPr>
              <w:t>（2）</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36</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bCs/>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16</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马</w:t>
            </w:r>
            <w:r>
              <w:rPr>
                <w:rFonts w:hint="eastAsia" w:ascii="仿宋_GB2312" w:hAnsi="Batang" w:eastAsia="仿宋_GB2312"/>
                <w:color w:val="000000"/>
                <w:kern w:val="2"/>
                <w:sz w:val="21"/>
                <w:szCs w:val="21"/>
              </w:rPr>
              <w:t>克思主</w:t>
            </w:r>
            <w:r>
              <w:rPr>
                <w:rFonts w:hint="eastAsia" w:ascii="仿宋_GB2312" w:eastAsia="仿宋_GB2312"/>
                <w:color w:val="000000"/>
                <w:kern w:val="2"/>
                <w:sz w:val="21"/>
                <w:szCs w:val="21"/>
              </w:rPr>
              <w:t>义</w:t>
            </w:r>
            <w:r>
              <w:rPr>
                <w:rFonts w:hint="eastAsia" w:ascii="仿宋_GB2312" w:hAnsi="Batang" w:eastAsia="仿宋_GB2312"/>
                <w:color w:val="000000"/>
                <w:kern w:val="2"/>
                <w:sz w:val="21"/>
                <w:szCs w:val="21"/>
              </w:rPr>
              <w:t>理</w:t>
            </w:r>
            <w:r>
              <w:rPr>
                <w:rFonts w:hint="eastAsia" w:ascii="仿宋_GB2312" w:eastAsia="仿宋_GB2312"/>
                <w:color w:val="000000"/>
                <w:kern w:val="2"/>
                <w:sz w:val="21"/>
                <w:szCs w:val="21"/>
              </w:rPr>
              <w:t>论类课</w:t>
            </w:r>
            <w:r>
              <w:rPr>
                <w:rFonts w:hint="eastAsia" w:ascii="仿宋_GB2312" w:hAnsi="Batang" w:eastAsia="仿宋_GB2312"/>
                <w:color w:val="000000"/>
                <w:kern w:val="2"/>
                <w:sz w:val="21"/>
                <w:szCs w:val="21"/>
              </w:rPr>
              <w:t>程</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2或3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17</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信息技</w:t>
            </w:r>
            <w:r>
              <w:rPr>
                <w:rFonts w:hint="eastAsia" w:ascii="仿宋_GB2312" w:eastAsia="仿宋_GB2312"/>
                <w:b/>
                <w:color w:val="000000"/>
                <w:kern w:val="2"/>
                <w:sz w:val="21"/>
                <w:szCs w:val="21"/>
              </w:rPr>
              <w:t>术</w:t>
            </w:r>
            <w:r>
              <w:rPr>
                <w:rFonts w:hint="eastAsia" w:ascii="仿宋_GB2312" w:hAnsi="Batang" w:eastAsia="仿宋_GB2312"/>
                <w:b/>
                <w:color w:val="000000"/>
                <w:kern w:val="2"/>
                <w:sz w:val="21"/>
                <w:szCs w:val="21"/>
              </w:rPr>
              <w:t>拓展课程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bCs/>
                <w:color w:val="000000"/>
                <w:kern w:val="2"/>
                <w:sz w:val="21"/>
                <w:szCs w:val="21"/>
              </w:rPr>
            </w:pPr>
            <w:r>
              <w:rPr>
                <w:rFonts w:hint="eastAsia" w:ascii="仿宋_GB2312" w:hAnsi="Batang" w:eastAsia="仿宋_GB2312"/>
                <w:bCs/>
                <w:color w:val="000000"/>
                <w:kern w:val="2"/>
                <w:sz w:val="21"/>
                <w:szCs w:val="21"/>
              </w:rPr>
              <w:t>安全教育</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2或3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restart"/>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p>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课程二组：线上资源，要求不少于36</w:t>
            </w:r>
            <w:r>
              <w:rPr>
                <w:rFonts w:hint="eastAsia" w:ascii="仿宋_GB2312" w:eastAsia="仿宋_GB2312"/>
                <w:color w:val="000000"/>
                <w:kern w:val="2"/>
                <w:sz w:val="21"/>
                <w:szCs w:val="21"/>
              </w:rPr>
              <w:t>学时</w:t>
            </w:r>
            <w:r>
              <w:rPr>
                <w:rFonts w:hint="eastAsia" w:ascii="仿宋_GB2312" w:hAnsi="Batang" w:eastAsia="仿宋_GB2312"/>
                <w:color w:val="000000"/>
                <w:kern w:val="2"/>
                <w:sz w:val="21"/>
                <w:szCs w:val="21"/>
              </w:rPr>
              <w:t>或</w:t>
            </w:r>
            <w:r>
              <w:rPr>
                <w:rFonts w:hint="eastAsia" w:ascii="仿宋_GB2312" w:eastAsia="仿宋_GB2312"/>
                <w:color w:val="000000"/>
                <w:kern w:val="2"/>
                <w:sz w:val="21"/>
                <w:szCs w:val="21"/>
              </w:rPr>
              <w:t>获</w:t>
            </w:r>
            <w:r>
              <w:rPr>
                <w:rFonts w:hint="eastAsia" w:ascii="仿宋_GB2312" w:hAnsi="Batang" w:eastAsia="仿宋_GB2312"/>
                <w:color w:val="000000"/>
                <w:kern w:val="2"/>
                <w:sz w:val="21"/>
                <w:szCs w:val="21"/>
              </w:rPr>
              <w:t>2</w:t>
            </w:r>
            <w:r>
              <w:rPr>
                <w:rFonts w:hint="eastAsia" w:ascii="仿宋_GB2312" w:eastAsia="仿宋_GB2312"/>
                <w:color w:val="000000"/>
                <w:kern w:val="2"/>
                <w:sz w:val="21"/>
                <w:szCs w:val="21"/>
              </w:rPr>
              <w:t>学</w:t>
            </w:r>
            <w:r>
              <w:rPr>
                <w:rFonts w:hint="eastAsia" w:ascii="仿宋_GB2312" w:hAnsi="Batang" w:eastAsia="仿宋_GB2312"/>
                <w:color w:val="000000"/>
                <w:kern w:val="2"/>
                <w:sz w:val="21"/>
                <w:szCs w:val="21"/>
              </w:rPr>
              <w:t>分。本专业开设</w:t>
            </w:r>
            <w:r>
              <w:rPr>
                <w:rFonts w:hint="eastAsia" w:ascii="仿宋_GB2312" w:hAnsi="Batang" w:eastAsia="仿宋_GB2312"/>
                <w:b/>
                <w:color w:val="000000"/>
                <w:kern w:val="2"/>
                <w:sz w:val="21"/>
                <w:szCs w:val="21"/>
              </w:rPr>
              <w:t>创新创业类课程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19</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bCs/>
                <w:color w:val="000000"/>
                <w:kern w:val="2"/>
                <w:sz w:val="21"/>
                <w:szCs w:val="21"/>
              </w:rPr>
            </w:pPr>
            <w:r>
              <w:rPr>
                <w:rFonts w:hint="eastAsia" w:ascii="仿宋_GB2312" w:hAnsi="Batang" w:eastAsia="仿宋_GB2312"/>
                <w:bCs/>
                <w:color w:val="000000"/>
                <w:kern w:val="2"/>
                <w:sz w:val="21"/>
                <w:szCs w:val="21"/>
              </w:rPr>
              <w:t>美育</w:t>
            </w:r>
            <w:r>
              <w:rPr>
                <w:rFonts w:hint="eastAsia" w:ascii="仿宋_GB2312" w:eastAsia="仿宋_GB2312"/>
                <w:bCs/>
                <w:color w:val="000000"/>
                <w:kern w:val="2"/>
                <w:sz w:val="21"/>
                <w:szCs w:val="21"/>
              </w:rPr>
              <w:t>教</w:t>
            </w:r>
            <w:r>
              <w:rPr>
                <w:rFonts w:hint="eastAsia" w:ascii="仿宋_GB2312" w:hAnsi="Batang" w:eastAsia="仿宋_GB2312"/>
                <w:bCs/>
                <w:color w:val="000000"/>
                <w:kern w:val="2"/>
                <w:sz w:val="21"/>
                <w:szCs w:val="21"/>
              </w:rPr>
              <w:t>育</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20</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s="宋体"/>
                <w:color w:val="000000"/>
                <w:kern w:val="2"/>
                <w:sz w:val="21"/>
                <w:szCs w:val="21"/>
              </w:rPr>
              <w:t>中</w:t>
            </w:r>
            <w:r>
              <w:rPr>
                <w:rFonts w:hint="eastAsia" w:ascii="仿宋_GB2312" w:eastAsia="仿宋_GB2312" w:cs="宋体"/>
                <w:color w:val="000000"/>
                <w:kern w:val="2"/>
                <w:sz w:val="21"/>
                <w:szCs w:val="21"/>
              </w:rPr>
              <w:t>华优</w:t>
            </w:r>
            <w:r>
              <w:rPr>
                <w:rFonts w:hint="eastAsia" w:ascii="仿宋_GB2312" w:hAnsi="Batang" w:eastAsia="仿宋_GB2312" w:cs="宋体"/>
                <w:color w:val="000000"/>
                <w:kern w:val="2"/>
                <w:sz w:val="21"/>
                <w:szCs w:val="21"/>
              </w:rPr>
              <w:t>秀</w:t>
            </w:r>
            <w:r>
              <w:rPr>
                <w:rFonts w:hint="eastAsia" w:ascii="仿宋_GB2312" w:eastAsia="仿宋_GB2312" w:cs="宋体"/>
                <w:color w:val="000000"/>
                <w:kern w:val="2"/>
                <w:sz w:val="21"/>
                <w:szCs w:val="21"/>
              </w:rPr>
              <w:t>传统</w:t>
            </w:r>
            <w:r>
              <w:rPr>
                <w:rFonts w:hint="eastAsia" w:ascii="仿宋_GB2312" w:hAnsi="Batang" w:eastAsia="仿宋_GB2312" w:cs="宋体"/>
                <w:color w:val="000000"/>
                <w:kern w:val="2"/>
                <w:sz w:val="21"/>
                <w:szCs w:val="21"/>
              </w:rPr>
              <w:t>文化</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21</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eastAsia="仿宋_GB2312"/>
                <w:b/>
                <w:color w:val="000000"/>
                <w:kern w:val="2"/>
                <w:sz w:val="21"/>
                <w:szCs w:val="21"/>
              </w:rPr>
            </w:pPr>
            <w:r>
              <w:rPr>
                <w:rFonts w:hint="eastAsia" w:ascii="仿宋_GB2312" w:eastAsia="仿宋_GB2312"/>
                <w:b/>
                <w:color w:val="000000"/>
                <w:kern w:val="2"/>
                <w:sz w:val="21"/>
                <w:szCs w:val="21"/>
              </w:rPr>
              <w:t>创</w:t>
            </w:r>
            <w:r>
              <w:rPr>
                <w:rFonts w:hint="eastAsia" w:ascii="仿宋_GB2312" w:hAnsi="Batang" w:eastAsia="仿宋_GB2312"/>
                <w:b/>
                <w:color w:val="000000"/>
                <w:kern w:val="2"/>
                <w:sz w:val="21"/>
                <w:szCs w:val="21"/>
              </w:rPr>
              <w:t>新</w:t>
            </w:r>
            <w:r>
              <w:rPr>
                <w:rFonts w:hint="eastAsia" w:ascii="仿宋_GB2312" w:eastAsia="仿宋_GB2312"/>
                <w:b/>
                <w:color w:val="000000"/>
                <w:kern w:val="2"/>
                <w:sz w:val="21"/>
                <w:szCs w:val="21"/>
              </w:rPr>
              <w:t>创业类课</w:t>
            </w:r>
            <w:r>
              <w:rPr>
                <w:rFonts w:hint="eastAsia" w:ascii="仿宋_GB2312" w:hAnsi="Batang" w:eastAsia="仿宋_GB2312"/>
                <w:b/>
                <w:color w:val="000000"/>
                <w:kern w:val="2"/>
                <w:sz w:val="21"/>
                <w:szCs w:val="21"/>
              </w:rPr>
              <w:t>程</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2</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22</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eastAsia="仿宋_GB2312"/>
                <w:color w:val="000000"/>
                <w:kern w:val="2"/>
                <w:sz w:val="21"/>
                <w:szCs w:val="21"/>
              </w:rPr>
            </w:pPr>
            <w:r>
              <w:rPr>
                <w:rFonts w:hint="eastAsia" w:ascii="仿宋_GB2312" w:eastAsia="仿宋_GB2312"/>
                <w:color w:val="000000"/>
                <w:kern w:val="2"/>
                <w:sz w:val="21"/>
                <w:szCs w:val="21"/>
              </w:rPr>
              <w:t>外贸知识</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2或3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2941"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ind w:firstLine="1050" w:firstLineChars="500"/>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小</w:t>
            </w:r>
            <w:r>
              <w:rPr>
                <w:rFonts w:hint="eastAsia" w:ascii="仿宋_GB2312" w:eastAsia="仿宋_GB2312"/>
                <w:color w:val="000000"/>
                <w:kern w:val="2"/>
                <w:sz w:val="21"/>
                <w:szCs w:val="21"/>
              </w:rPr>
              <w:t>计</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160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2126"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7" w:type="dxa"/>
            <w:vMerge w:val="restart"/>
            <w:tcBorders>
              <w:top w:val="single" w:color="auto" w:sz="4" w:space="0"/>
              <w:left w:val="single" w:color="auto" w:sz="4" w:space="0"/>
              <w:bottom w:val="single" w:color="auto" w:sz="4" w:space="0"/>
              <w:right w:val="single" w:color="auto" w:sz="4" w:space="0"/>
            </w:tcBorders>
            <w:vAlign w:val="center"/>
          </w:tcPr>
          <w:p>
            <w:pPr>
              <w:pStyle w:val="5"/>
              <w:adjustRightIn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选</w:t>
            </w:r>
            <w:r>
              <w:rPr>
                <w:rFonts w:hint="eastAsia" w:ascii="仿宋_GB2312" w:hAnsi="Batang" w:eastAsia="仿宋_GB2312"/>
                <w:color w:val="000000"/>
                <w:kern w:val="2"/>
                <w:sz w:val="21"/>
                <w:szCs w:val="21"/>
              </w:rPr>
              <w:t>修</w:t>
            </w:r>
            <w:r>
              <w:rPr>
                <w:rFonts w:hint="eastAsia" w:ascii="仿宋_GB2312" w:eastAsia="仿宋_GB2312"/>
                <w:color w:val="000000"/>
                <w:kern w:val="2"/>
                <w:sz w:val="21"/>
                <w:szCs w:val="21"/>
              </w:rPr>
              <w:t>课</w:t>
            </w: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23</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b/>
                <w:color w:val="000000"/>
                <w:kern w:val="2"/>
                <w:sz w:val="21"/>
                <w:szCs w:val="21"/>
              </w:rPr>
            </w:pPr>
            <w:r>
              <w:rPr>
                <w:rFonts w:hint="eastAsia" w:ascii="仿宋_GB2312" w:eastAsia="仿宋_GB2312"/>
                <w:b/>
                <w:color w:val="000000"/>
                <w:kern w:val="2"/>
                <w:sz w:val="21"/>
                <w:szCs w:val="21"/>
              </w:rPr>
              <w:t>创业</w:t>
            </w:r>
            <w:r>
              <w:rPr>
                <w:rFonts w:hint="eastAsia" w:ascii="仿宋_GB2312" w:hAnsi="Batang" w:eastAsia="仿宋_GB2312"/>
                <w:b/>
                <w:color w:val="000000"/>
                <w:kern w:val="2"/>
                <w:sz w:val="21"/>
                <w:szCs w:val="21"/>
              </w:rPr>
              <w:t>培</w:t>
            </w:r>
            <w:r>
              <w:rPr>
                <w:rFonts w:hint="eastAsia" w:ascii="仿宋_GB2312" w:eastAsia="仿宋_GB2312"/>
                <w:b/>
                <w:color w:val="000000"/>
                <w:kern w:val="2"/>
                <w:sz w:val="21"/>
                <w:szCs w:val="21"/>
              </w:rPr>
              <w:t>训</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3或4</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b/>
                <w:color w:val="000000"/>
                <w:kern w:val="2"/>
                <w:sz w:val="21"/>
                <w:szCs w:val="21"/>
              </w:rPr>
            </w:pPr>
            <w:r>
              <w:rPr>
                <w:rFonts w:hint="eastAsia" w:ascii="仿宋_GB2312" w:hAnsi="Batang" w:eastAsia="仿宋_GB2312"/>
                <w:b/>
                <w:color w:val="000000"/>
                <w:kern w:val="2"/>
                <w:sz w:val="21"/>
                <w:szCs w:val="21"/>
              </w:rPr>
              <w:t>4</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auto"/>
                <w:kern w:val="2"/>
                <w:sz w:val="21"/>
                <w:szCs w:val="21"/>
              </w:rPr>
            </w:pPr>
            <w:r>
              <w:rPr>
                <w:rFonts w:hint="eastAsia" w:ascii="仿宋_GB2312" w:hAnsi="Batang" w:eastAsia="仿宋_GB2312"/>
                <w:b/>
                <w:color w:val="auto"/>
                <w:kern w:val="2"/>
                <w:sz w:val="21"/>
                <w:szCs w:val="21"/>
              </w:rPr>
              <w:t>1.组织</w:t>
            </w:r>
            <w:r>
              <w:rPr>
                <w:rFonts w:hint="eastAsia" w:ascii="仿宋_GB2312" w:eastAsia="仿宋_GB2312"/>
                <w:b/>
                <w:color w:val="auto"/>
                <w:kern w:val="2"/>
                <w:sz w:val="21"/>
                <w:szCs w:val="21"/>
              </w:rPr>
              <w:t>学</w:t>
            </w:r>
            <w:r>
              <w:rPr>
                <w:rFonts w:hint="eastAsia" w:ascii="仿宋_GB2312" w:hAnsi="Batang" w:eastAsia="仿宋_GB2312"/>
                <w:b/>
                <w:color w:val="auto"/>
                <w:kern w:val="2"/>
                <w:sz w:val="21"/>
                <w:szCs w:val="21"/>
              </w:rPr>
              <w:t>生自主</w:t>
            </w:r>
            <w:r>
              <w:rPr>
                <w:rFonts w:hint="eastAsia" w:ascii="仿宋_GB2312" w:eastAsia="仿宋_GB2312"/>
                <w:b/>
                <w:color w:val="auto"/>
                <w:kern w:val="2"/>
                <w:sz w:val="21"/>
                <w:szCs w:val="21"/>
              </w:rPr>
              <w:t>选</w:t>
            </w:r>
            <w:r>
              <w:rPr>
                <w:rFonts w:hint="eastAsia" w:ascii="仿宋_GB2312" w:hAnsi="Batang" w:eastAsia="仿宋_GB2312"/>
                <w:b/>
                <w:color w:val="auto"/>
                <w:kern w:val="2"/>
                <w:sz w:val="21"/>
                <w:szCs w:val="21"/>
              </w:rPr>
              <w:t>修创业培训课程，利用线上资源分时分段开展教学</w:t>
            </w:r>
            <w:r>
              <w:rPr>
                <w:rFonts w:hint="eastAsia" w:ascii="仿宋_GB2312" w:hAnsi="Batang" w:eastAsia="仿宋_GB2312"/>
                <w:color w:val="auto"/>
                <w:kern w:val="2"/>
                <w:sz w:val="21"/>
                <w:szCs w:val="21"/>
              </w:rPr>
              <w:t>。</w:t>
            </w:r>
          </w:p>
          <w:p>
            <w:pPr>
              <w:pStyle w:val="5"/>
              <w:snapToGrid w:val="0"/>
              <w:spacing w:before="0" w:beforeAutospacing="0" w:after="0" w:afterAutospacing="0" w:line="260" w:lineRule="exact"/>
              <w:jc w:val="both"/>
              <w:rPr>
                <w:rFonts w:ascii="仿宋_GB2312" w:hAnsi="Batang"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24</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书法培训</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25</w:t>
            </w:r>
          </w:p>
        </w:tc>
        <w:tc>
          <w:tcPr>
            <w:tcW w:w="2407"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音乐（黄梅戏）欣赏</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18</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bCs/>
                <w:color w:val="000000"/>
                <w:kern w:val="2"/>
                <w:sz w:val="21"/>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26</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节</w:t>
            </w:r>
            <w:r>
              <w:rPr>
                <w:rFonts w:hint="eastAsia" w:ascii="仿宋_GB2312" w:hAnsi="Batang" w:eastAsia="仿宋_GB2312"/>
                <w:color w:val="000000"/>
                <w:kern w:val="2"/>
                <w:sz w:val="21"/>
                <w:szCs w:val="21"/>
              </w:rPr>
              <w:t>能</w:t>
            </w:r>
            <w:r>
              <w:rPr>
                <w:rFonts w:hint="eastAsia" w:ascii="仿宋_GB2312" w:eastAsia="仿宋_GB2312"/>
                <w:color w:val="000000"/>
                <w:kern w:val="2"/>
                <w:sz w:val="21"/>
                <w:szCs w:val="21"/>
              </w:rPr>
              <w:t>减</w:t>
            </w:r>
            <w:r>
              <w:rPr>
                <w:rFonts w:hint="eastAsia" w:ascii="仿宋_GB2312" w:hAnsi="Batang" w:eastAsia="仿宋_GB2312"/>
                <w:color w:val="000000"/>
                <w:kern w:val="2"/>
                <w:sz w:val="21"/>
                <w:szCs w:val="21"/>
              </w:rPr>
              <w:t>排</w:t>
            </w:r>
            <w:r>
              <w:rPr>
                <w:rFonts w:hint="eastAsia" w:ascii="仿宋_GB2312" w:eastAsia="仿宋_GB2312"/>
                <w:color w:val="000000"/>
                <w:kern w:val="2"/>
                <w:sz w:val="21"/>
                <w:szCs w:val="21"/>
              </w:rPr>
              <w:t>与绿</w:t>
            </w:r>
            <w:r>
              <w:rPr>
                <w:rFonts w:hint="eastAsia" w:ascii="仿宋_GB2312" w:hAnsi="Batang" w:eastAsia="仿宋_GB2312"/>
                <w:color w:val="000000"/>
                <w:kern w:val="2"/>
                <w:sz w:val="21"/>
                <w:szCs w:val="21"/>
              </w:rPr>
              <w:t>色</w:t>
            </w:r>
            <w:r>
              <w:rPr>
                <w:rFonts w:hint="eastAsia" w:ascii="仿宋_GB2312" w:eastAsia="仿宋_GB2312"/>
                <w:color w:val="000000"/>
                <w:kern w:val="2"/>
                <w:sz w:val="21"/>
                <w:szCs w:val="21"/>
              </w:rPr>
              <w:t>环</w:t>
            </w:r>
            <w:r>
              <w:rPr>
                <w:rFonts w:hint="eastAsia" w:ascii="仿宋_GB2312" w:hAnsi="Batang" w:eastAsia="仿宋_GB2312"/>
                <w:color w:val="000000"/>
                <w:kern w:val="2"/>
                <w:sz w:val="21"/>
                <w:szCs w:val="21"/>
              </w:rPr>
              <w:t>保</w:t>
            </w:r>
            <w:r>
              <w:rPr>
                <w:rFonts w:hint="eastAsia" w:ascii="仿宋_GB2312" w:eastAsia="仿宋_GB2312"/>
                <w:color w:val="000000"/>
                <w:kern w:val="2"/>
                <w:sz w:val="21"/>
                <w:szCs w:val="21"/>
              </w:rPr>
              <w:t>类</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3或4</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27</w:t>
            </w:r>
          </w:p>
        </w:tc>
        <w:tc>
          <w:tcPr>
            <w:tcW w:w="2407"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人口</w:t>
            </w:r>
            <w:r>
              <w:rPr>
                <w:rFonts w:hint="eastAsia" w:ascii="仿宋_GB2312" w:eastAsia="仿宋_GB2312"/>
                <w:color w:val="000000"/>
                <w:kern w:val="2"/>
                <w:sz w:val="21"/>
                <w:szCs w:val="21"/>
              </w:rPr>
              <w:t>资</w:t>
            </w:r>
            <w:r>
              <w:rPr>
                <w:rFonts w:hint="eastAsia" w:ascii="仿宋_GB2312" w:hAnsi="Batang" w:eastAsia="仿宋_GB2312"/>
                <w:color w:val="000000"/>
                <w:kern w:val="2"/>
                <w:sz w:val="21"/>
                <w:szCs w:val="21"/>
              </w:rPr>
              <w:t>源</w:t>
            </w:r>
            <w:r>
              <w:rPr>
                <w:rFonts w:hint="eastAsia" w:ascii="仿宋_GB2312" w:eastAsia="仿宋_GB2312"/>
                <w:color w:val="000000"/>
                <w:kern w:val="2"/>
                <w:sz w:val="21"/>
                <w:szCs w:val="21"/>
              </w:rPr>
              <w:t>与</w:t>
            </w:r>
            <w:r>
              <w:rPr>
                <w:rFonts w:hint="eastAsia" w:ascii="仿宋_GB2312" w:hAnsi="Batang" w:eastAsia="仿宋_GB2312"/>
                <w:color w:val="000000"/>
                <w:kern w:val="2"/>
                <w:sz w:val="21"/>
                <w:szCs w:val="21"/>
              </w:rPr>
              <w:t>海洋探秘</w:t>
            </w:r>
            <w:r>
              <w:rPr>
                <w:rFonts w:hint="eastAsia" w:ascii="仿宋_GB2312" w:eastAsia="仿宋_GB2312"/>
                <w:color w:val="000000"/>
                <w:kern w:val="2"/>
                <w:sz w:val="21"/>
                <w:szCs w:val="21"/>
              </w:rPr>
              <w:t>类</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3或4</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28</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社会责任类课程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29</w:t>
            </w:r>
          </w:p>
        </w:tc>
        <w:tc>
          <w:tcPr>
            <w:tcW w:w="2407"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职业素养类课程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12</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534"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30</w:t>
            </w:r>
          </w:p>
        </w:tc>
        <w:tc>
          <w:tcPr>
            <w:tcW w:w="240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line="260" w:lineRule="exact"/>
              <w:jc w:val="both"/>
              <w:rPr>
                <w:rFonts w:ascii="仿宋_GB2312" w:hAnsi="Batang" w:eastAsia="仿宋_GB2312"/>
                <w:color w:val="000000"/>
                <w:kern w:val="2"/>
                <w:sz w:val="21"/>
                <w:szCs w:val="21"/>
              </w:rPr>
            </w:pPr>
            <w:r>
              <w:rPr>
                <w:rFonts w:hint="eastAsia" w:ascii="仿宋_GB2312" w:eastAsia="仿宋_GB2312"/>
                <w:color w:val="000000"/>
                <w:kern w:val="2"/>
                <w:sz w:val="21"/>
                <w:szCs w:val="21"/>
              </w:rPr>
              <w:t>管理类课程</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考查</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0.5</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Batang" w:eastAsia="仿宋_GB2312"/>
                <w:color w:val="000000"/>
                <w:szCs w:val="21"/>
              </w:rPr>
            </w:pPr>
          </w:p>
        </w:tc>
        <w:tc>
          <w:tcPr>
            <w:tcW w:w="2941"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ind w:firstLine="945" w:firstLineChars="450"/>
              <w:jc w:val="both"/>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小</w:t>
            </w:r>
            <w:r>
              <w:rPr>
                <w:rFonts w:hint="eastAsia" w:ascii="仿宋_GB2312" w:eastAsia="仿宋_GB2312"/>
                <w:color w:val="000000"/>
                <w:kern w:val="2"/>
                <w:sz w:val="21"/>
                <w:szCs w:val="21"/>
              </w:rPr>
              <w:t>计</w:t>
            </w:r>
          </w:p>
        </w:tc>
        <w:tc>
          <w:tcPr>
            <w:tcW w:w="851"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5"/>
              <w:spacing w:before="0" w:beforeAutospacing="0" w:after="0" w:afterAutospacing="0" w:line="260" w:lineRule="exact"/>
              <w:jc w:val="center"/>
              <w:rPr>
                <w:rFonts w:ascii="仿宋_GB2312" w:hAnsi="Batang" w:eastAsia="仿宋_GB2312"/>
                <w:color w:val="000000"/>
                <w:kern w:val="2"/>
                <w:sz w:val="21"/>
                <w:szCs w:val="21"/>
              </w:rPr>
            </w:pPr>
            <w:r>
              <w:rPr>
                <w:rFonts w:hint="eastAsia" w:ascii="仿宋_GB2312" w:hAnsi="Batang" w:eastAsia="仿宋_GB2312"/>
                <w:color w:val="000000"/>
                <w:kern w:val="2"/>
                <w:sz w:val="21"/>
                <w:szCs w:val="21"/>
              </w:rPr>
              <w:t>4</w:t>
            </w:r>
          </w:p>
        </w:tc>
        <w:tc>
          <w:tcPr>
            <w:tcW w:w="2126" w:type="dxa"/>
            <w:tcBorders>
              <w:top w:val="single" w:color="auto" w:sz="4" w:space="0"/>
              <w:left w:val="single" w:color="auto" w:sz="4" w:space="0"/>
              <w:bottom w:val="single" w:color="auto" w:sz="4" w:space="0"/>
              <w:right w:val="single" w:color="auto" w:sz="4" w:space="0"/>
            </w:tcBorders>
          </w:tcPr>
          <w:p>
            <w:pPr>
              <w:pStyle w:val="5"/>
              <w:spacing w:before="0" w:beforeAutospacing="0" w:after="0" w:afterAutospacing="0" w:line="260" w:lineRule="exact"/>
              <w:jc w:val="both"/>
              <w:rPr>
                <w:rFonts w:ascii="仿宋_GB2312" w:hAnsi="Batang" w:eastAsia="仿宋_GB2312"/>
                <w:color w:val="000000"/>
                <w:kern w:val="2"/>
                <w:sz w:val="21"/>
                <w:szCs w:val="21"/>
              </w:rPr>
            </w:pPr>
          </w:p>
        </w:tc>
      </w:tr>
    </w:tbl>
    <w:p>
      <w:pPr>
        <w:pStyle w:val="5"/>
        <w:widowControl w:val="0"/>
        <w:spacing w:before="0" w:beforeAutospacing="0" w:after="0" w:afterAutospacing="0" w:line="324" w:lineRule="auto"/>
        <w:jc w:val="both"/>
        <w:rPr>
          <w:rFonts w:asciiTheme="minorEastAsia" w:hAnsiTheme="minorEastAsia" w:eastAsiaTheme="minorEastAsia" w:cstheme="minorEastAsia"/>
          <w:b/>
          <w:color w:val="000000" w:themeColor="text1"/>
          <w14:textFill>
            <w14:solidFill>
              <w14:schemeClr w14:val="tx1"/>
            </w14:solidFill>
          </w14:textFill>
        </w:rPr>
      </w:pPr>
    </w:p>
    <w:p>
      <w:pPr>
        <w:pStyle w:val="5"/>
        <w:widowControl w:val="0"/>
        <w:numPr>
          <w:ilvl w:val="0"/>
          <w:numId w:val="3"/>
        </w:numPr>
        <w:spacing w:before="0" w:beforeAutospacing="0" w:after="0" w:afterAutospacing="0" w:line="324" w:lineRule="auto"/>
        <w:ind w:left="-62" w:firstLine="482"/>
        <w:jc w:val="both"/>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专业（技能）课程教学进程表   </w:t>
      </w:r>
    </w:p>
    <w:tbl>
      <w:tblPr>
        <w:tblStyle w:val="11"/>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391"/>
        <w:gridCol w:w="396"/>
        <w:gridCol w:w="404"/>
        <w:gridCol w:w="1780"/>
        <w:gridCol w:w="650"/>
        <w:gridCol w:w="709"/>
        <w:gridCol w:w="709"/>
        <w:gridCol w:w="708"/>
        <w:gridCol w:w="485"/>
        <w:gridCol w:w="498"/>
        <w:gridCol w:w="441"/>
        <w:gridCol w:w="441"/>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62" w:type="dxa"/>
            <w:gridSpan w:val="2"/>
            <w:vAlign w:val="center"/>
          </w:tcPr>
          <w:p>
            <w:pPr>
              <w:jc w:val="center"/>
              <w:rPr>
                <w:rFonts w:ascii="仿宋_GB2312" w:hAnsi="宋体" w:eastAsia="仿宋_GB2312"/>
                <w:szCs w:val="21"/>
              </w:rPr>
            </w:pPr>
            <w:r>
              <w:rPr>
                <w:rFonts w:hint="eastAsia" w:ascii="仿宋_GB2312" w:hAnsi="宋体" w:eastAsia="仿宋_GB2312"/>
                <w:szCs w:val="21"/>
              </w:rPr>
              <w:t>类别</w:t>
            </w:r>
          </w:p>
        </w:tc>
        <w:tc>
          <w:tcPr>
            <w:tcW w:w="800" w:type="dxa"/>
            <w:gridSpan w:val="2"/>
            <w:vAlign w:val="center"/>
          </w:tcPr>
          <w:p>
            <w:pPr>
              <w:jc w:val="center"/>
              <w:rPr>
                <w:rFonts w:ascii="仿宋_GB2312" w:hAnsi="宋体" w:eastAsia="仿宋_GB2312"/>
                <w:szCs w:val="21"/>
              </w:rPr>
            </w:pPr>
            <w:r>
              <w:rPr>
                <w:rFonts w:hint="eastAsia" w:ascii="仿宋_GB2312" w:hAnsi="宋体" w:eastAsia="仿宋_GB2312"/>
                <w:szCs w:val="21"/>
              </w:rPr>
              <w:t>序号</w:t>
            </w:r>
          </w:p>
        </w:tc>
        <w:tc>
          <w:tcPr>
            <w:tcW w:w="1780" w:type="dxa"/>
            <w:vAlign w:val="center"/>
          </w:tcPr>
          <w:p>
            <w:pPr>
              <w:jc w:val="center"/>
              <w:rPr>
                <w:rFonts w:ascii="仿宋_GB2312" w:hAnsi="宋体" w:eastAsia="仿宋_GB2312"/>
                <w:szCs w:val="21"/>
              </w:rPr>
            </w:pPr>
            <w:r>
              <w:rPr>
                <w:rFonts w:hint="eastAsia" w:ascii="仿宋_GB2312" w:hAnsi="宋体" w:eastAsia="仿宋_GB2312"/>
                <w:szCs w:val="21"/>
              </w:rPr>
              <w:t>课程名称</w:t>
            </w:r>
          </w:p>
        </w:tc>
        <w:tc>
          <w:tcPr>
            <w:tcW w:w="650" w:type="dxa"/>
            <w:vAlign w:val="center"/>
          </w:tcPr>
          <w:p>
            <w:pPr>
              <w:jc w:val="center"/>
              <w:rPr>
                <w:rFonts w:ascii="仿宋_GB2312" w:hAnsi="宋体" w:eastAsia="仿宋_GB2312"/>
                <w:szCs w:val="21"/>
              </w:rPr>
            </w:pPr>
            <w:r>
              <w:rPr>
                <w:rFonts w:hint="eastAsia" w:ascii="仿宋_GB2312" w:hAnsi="宋体" w:eastAsia="仿宋_GB2312"/>
                <w:szCs w:val="21"/>
              </w:rPr>
              <w:t>计划</w:t>
            </w:r>
          </w:p>
          <w:p>
            <w:pPr>
              <w:jc w:val="center"/>
              <w:rPr>
                <w:rFonts w:ascii="仿宋_GB2312" w:hAnsi="宋体" w:eastAsia="仿宋_GB2312"/>
                <w:szCs w:val="21"/>
              </w:rPr>
            </w:pPr>
            <w:r>
              <w:rPr>
                <w:rFonts w:hint="eastAsia" w:ascii="仿宋_GB2312" w:hAnsi="宋体" w:eastAsia="仿宋_GB2312"/>
                <w:szCs w:val="21"/>
              </w:rPr>
              <w:t>课时</w:t>
            </w:r>
          </w:p>
        </w:tc>
        <w:tc>
          <w:tcPr>
            <w:tcW w:w="709" w:type="dxa"/>
            <w:vAlign w:val="center"/>
          </w:tcPr>
          <w:p>
            <w:pPr>
              <w:jc w:val="center"/>
              <w:rPr>
                <w:rFonts w:ascii="仿宋_GB2312" w:hAnsi="宋体" w:eastAsia="仿宋_GB2312"/>
                <w:szCs w:val="21"/>
              </w:rPr>
            </w:pPr>
            <w:r>
              <w:rPr>
                <w:rFonts w:hint="eastAsia" w:ascii="仿宋_GB2312" w:hAnsi="宋体" w:eastAsia="仿宋_GB2312"/>
                <w:szCs w:val="21"/>
              </w:rPr>
              <w:t>理论课时</w:t>
            </w:r>
          </w:p>
        </w:tc>
        <w:tc>
          <w:tcPr>
            <w:tcW w:w="709" w:type="dxa"/>
            <w:vAlign w:val="center"/>
          </w:tcPr>
          <w:p>
            <w:pPr>
              <w:jc w:val="center"/>
              <w:rPr>
                <w:rFonts w:ascii="仿宋_GB2312" w:hAnsi="宋体" w:eastAsia="仿宋_GB2312"/>
                <w:szCs w:val="21"/>
              </w:rPr>
            </w:pPr>
            <w:r>
              <w:rPr>
                <w:rFonts w:hint="eastAsia" w:ascii="仿宋_GB2312" w:hAnsi="宋体" w:eastAsia="仿宋_GB2312"/>
                <w:szCs w:val="21"/>
              </w:rPr>
              <w:t>实践课时</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rPr>
              <w:t>开设</w:t>
            </w:r>
          </w:p>
          <w:p>
            <w:pPr>
              <w:jc w:val="center"/>
              <w:rPr>
                <w:rFonts w:ascii="仿宋_GB2312" w:hAnsi="宋体" w:eastAsia="仿宋_GB2312"/>
                <w:szCs w:val="21"/>
              </w:rPr>
            </w:pPr>
            <w:r>
              <w:rPr>
                <w:rFonts w:hint="eastAsia" w:ascii="仿宋_GB2312" w:hAnsi="宋体" w:eastAsia="仿宋_GB2312"/>
                <w:szCs w:val="21"/>
              </w:rPr>
              <w:t>学期</w:t>
            </w:r>
          </w:p>
        </w:tc>
        <w:tc>
          <w:tcPr>
            <w:tcW w:w="485" w:type="dxa"/>
            <w:vAlign w:val="center"/>
          </w:tcPr>
          <w:p>
            <w:pPr>
              <w:jc w:val="center"/>
              <w:rPr>
                <w:rFonts w:ascii="仿宋_GB2312" w:hAnsi="宋体" w:eastAsia="仿宋_GB2312"/>
                <w:szCs w:val="21"/>
              </w:rPr>
            </w:pPr>
            <w:r>
              <w:rPr>
                <w:rFonts w:hint="eastAsia" w:ascii="仿宋_GB2312" w:hAnsi="宋体" w:eastAsia="仿宋_GB2312"/>
                <w:szCs w:val="21"/>
              </w:rPr>
              <w:t>学分</w:t>
            </w:r>
          </w:p>
        </w:tc>
        <w:tc>
          <w:tcPr>
            <w:tcW w:w="497" w:type="dxa"/>
            <w:vAlign w:val="center"/>
          </w:tcPr>
          <w:p>
            <w:pPr>
              <w:jc w:val="center"/>
              <w:rPr>
                <w:rFonts w:ascii="仿宋_GB2312" w:hAnsi="宋体" w:eastAsia="仿宋_GB2312"/>
                <w:szCs w:val="21"/>
              </w:rPr>
            </w:pPr>
            <w:r>
              <w:rPr>
                <w:rFonts w:hint="eastAsia" w:ascii="仿宋_GB2312" w:hAnsi="宋体" w:eastAsia="仿宋_GB2312"/>
                <w:szCs w:val="21"/>
              </w:rPr>
              <w:t>周学时</w:t>
            </w:r>
          </w:p>
        </w:tc>
        <w:tc>
          <w:tcPr>
            <w:tcW w:w="441" w:type="dxa"/>
            <w:vAlign w:val="center"/>
          </w:tcPr>
          <w:p>
            <w:pPr>
              <w:jc w:val="center"/>
              <w:rPr>
                <w:rFonts w:ascii="仿宋_GB2312" w:hAnsi="宋体" w:eastAsia="仿宋_GB2312"/>
                <w:szCs w:val="21"/>
              </w:rPr>
            </w:pPr>
            <w:r>
              <w:rPr>
                <w:rFonts w:hint="eastAsia" w:ascii="仿宋_GB2312" w:hAnsi="宋体" w:eastAsia="仿宋_GB2312"/>
                <w:szCs w:val="21"/>
              </w:rPr>
              <w:t>考试</w:t>
            </w:r>
          </w:p>
        </w:tc>
        <w:tc>
          <w:tcPr>
            <w:tcW w:w="441" w:type="dxa"/>
            <w:vAlign w:val="center"/>
          </w:tcPr>
          <w:p>
            <w:pPr>
              <w:jc w:val="center"/>
              <w:rPr>
                <w:rFonts w:ascii="仿宋_GB2312" w:hAnsi="宋体" w:eastAsia="仿宋_GB2312"/>
                <w:szCs w:val="21"/>
              </w:rPr>
            </w:pPr>
            <w:r>
              <w:rPr>
                <w:rFonts w:hint="eastAsia" w:ascii="仿宋_GB2312" w:hAnsi="宋体" w:eastAsia="仿宋_GB2312"/>
                <w:szCs w:val="21"/>
              </w:rPr>
              <w:t>考查</w:t>
            </w:r>
          </w:p>
        </w:tc>
        <w:tc>
          <w:tcPr>
            <w:tcW w:w="1556" w:type="dxa"/>
            <w:vAlign w:val="center"/>
          </w:tcPr>
          <w:p>
            <w:pPr>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71" w:type="dxa"/>
            <w:vMerge w:val="restart"/>
            <w:vAlign w:val="center"/>
          </w:tcPr>
          <w:p>
            <w:pPr>
              <w:spacing w:line="300" w:lineRule="exact"/>
              <w:rPr>
                <w:rFonts w:ascii="仿宋_GB2312" w:hAnsi="宋体" w:eastAsia="仿宋_GB2312"/>
                <w:szCs w:val="21"/>
              </w:rPr>
            </w:pPr>
            <w:r>
              <w:rPr>
                <w:rFonts w:hint="eastAsia" w:ascii="仿宋_GB2312" w:hAnsi="宋体" w:eastAsia="仿宋_GB2312"/>
                <w:szCs w:val="21"/>
              </w:rPr>
              <w:t>专业技术模块</w:t>
            </w:r>
          </w:p>
        </w:tc>
        <w:tc>
          <w:tcPr>
            <w:tcW w:w="391" w:type="dxa"/>
            <w:vMerge w:val="restart"/>
            <w:vAlign w:val="center"/>
          </w:tcPr>
          <w:p>
            <w:pPr>
              <w:spacing w:line="240" w:lineRule="exact"/>
              <w:rPr>
                <w:rFonts w:ascii="仿宋_GB2312" w:hAnsi="宋体" w:eastAsia="仿宋_GB2312"/>
                <w:szCs w:val="21"/>
              </w:rPr>
            </w:pPr>
            <w:r>
              <w:rPr>
                <w:rFonts w:hint="eastAsia" w:ascii="仿宋_GB2312" w:hAnsi="宋体" w:eastAsia="仿宋_GB2312"/>
                <w:szCs w:val="21"/>
              </w:rPr>
              <w:t>专</w:t>
            </w:r>
          </w:p>
          <w:p>
            <w:pPr>
              <w:spacing w:line="240" w:lineRule="exact"/>
              <w:rPr>
                <w:rFonts w:ascii="仿宋_GB2312" w:hAnsi="宋体" w:eastAsia="仿宋_GB2312"/>
                <w:szCs w:val="21"/>
              </w:rPr>
            </w:pPr>
            <w:r>
              <w:rPr>
                <w:rFonts w:hint="eastAsia" w:ascii="仿宋_GB2312" w:hAnsi="宋体" w:eastAsia="仿宋_GB2312"/>
                <w:szCs w:val="21"/>
              </w:rPr>
              <w:t>业</w:t>
            </w:r>
          </w:p>
          <w:p>
            <w:pPr>
              <w:spacing w:line="240" w:lineRule="exact"/>
              <w:rPr>
                <w:rFonts w:ascii="仿宋_GB2312" w:hAnsi="宋体" w:eastAsia="仿宋_GB2312"/>
                <w:szCs w:val="21"/>
              </w:rPr>
            </w:pPr>
            <w:r>
              <w:rPr>
                <w:rFonts w:hint="eastAsia" w:ascii="仿宋_GB2312" w:hAnsi="宋体" w:eastAsia="仿宋_GB2312"/>
                <w:szCs w:val="21"/>
              </w:rPr>
              <w:t>基</w:t>
            </w:r>
          </w:p>
          <w:p>
            <w:pPr>
              <w:spacing w:line="240" w:lineRule="exact"/>
              <w:rPr>
                <w:rFonts w:ascii="仿宋_GB2312" w:hAnsi="宋体" w:eastAsia="仿宋_GB2312"/>
                <w:szCs w:val="21"/>
              </w:rPr>
            </w:pPr>
            <w:r>
              <w:rPr>
                <w:rFonts w:hint="eastAsia" w:ascii="仿宋_GB2312" w:hAnsi="宋体" w:eastAsia="仿宋_GB2312"/>
                <w:szCs w:val="21"/>
              </w:rPr>
              <w:t>础</w:t>
            </w:r>
          </w:p>
          <w:p>
            <w:pPr>
              <w:spacing w:line="240" w:lineRule="exact"/>
              <w:rPr>
                <w:rFonts w:ascii="仿宋_GB2312" w:hAnsi="宋体" w:eastAsia="仿宋_GB2312"/>
                <w:szCs w:val="21"/>
              </w:rPr>
            </w:pPr>
            <w:r>
              <w:rPr>
                <w:rFonts w:hint="eastAsia" w:ascii="仿宋_GB2312" w:hAnsi="宋体" w:eastAsia="仿宋_GB2312"/>
                <w:szCs w:val="21"/>
              </w:rPr>
              <w:t>课</w:t>
            </w:r>
          </w:p>
          <w:p>
            <w:pPr>
              <w:spacing w:line="240" w:lineRule="exact"/>
              <w:rPr>
                <w:rFonts w:ascii="仿宋_GB2312" w:hAnsi="宋体" w:eastAsia="仿宋_GB2312"/>
                <w:szCs w:val="21"/>
              </w:rPr>
            </w:pPr>
            <w:r>
              <w:rPr>
                <w:rFonts w:hint="eastAsia" w:ascii="仿宋_GB2312" w:hAnsi="宋体" w:eastAsia="仿宋_GB2312"/>
                <w:szCs w:val="21"/>
              </w:rPr>
              <w:t>程</w:t>
            </w: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1</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公关与礼仪</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28</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26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24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2</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基础统计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2</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2</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1556" w:type="dxa"/>
            <w:vAlign w:val="center"/>
          </w:tcPr>
          <w:p>
            <w:pPr>
              <w:spacing w:line="24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3</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经济学基础</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4</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新媒体营销</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5</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经济法实务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6</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广告理论与实务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71" w:type="dxa"/>
            <w:vMerge w:val="continue"/>
            <w:vAlign w:val="center"/>
          </w:tcPr>
          <w:p>
            <w:pPr>
              <w:spacing w:line="300" w:lineRule="exact"/>
              <w:rPr>
                <w:rFonts w:ascii="仿宋_GB2312" w:hAnsi="宋体" w:eastAsia="仿宋_GB2312"/>
                <w:szCs w:val="21"/>
              </w:rPr>
            </w:pPr>
          </w:p>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7</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电子商务实务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8</w:t>
            </w:r>
          </w:p>
        </w:tc>
        <w:tc>
          <w:tcPr>
            <w:tcW w:w="1780" w:type="dxa"/>
            <w:vAlign w:val="center"/>
          </w:tcPr>
          <w:p>
            <w:pPr>
              <w:spacing w:line="0" w:lineRule="atLeast"/>
              <w:jc w:val="left"/>
              <w:rPr>
                <w:rFonts w:asciiTheme="minorEastAsia" w:hAnsiTheme="minorEastAsia" w:eastAsiaTheme="minorEastAsia" w:cstheme="minorEastAsia"/>
                <w:color w:val="FF0000"/>
                <w:szCs w:val="21"/>
              </w:rPr>
            </w:pPr>
            <w:r>
              <w:rPr>
                <w:rFonts w:hint="eastAsia" w:ascii="仿宋_GB2312" w:hAnsi="宋体" w:eastAsia="仿宋_GB2312"/>
                <w:szCs w:val="21"/>
              </w:rPr>
              <w:t>管理沟通实务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18</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restart"/>
            <w:vAlign w:val="center"/>
          </w:tcPr>
          <w:p>
            <w:pPr>
              <w:spacing w:line="240" w:lineRule="exact"/>
              <w:rPr>
                <w:rFonts w:ascii="仿宋_GB2312" w:hAnsi="宋体" w:eastAsia="仿宋_GB2312"/>
                <w:szCs w:val="21"/>
              </w:rPr>
            </w:pPr>
            <w:r>
              <w:rPr>
                <w:rFonts w:hint="eastAsia" w:ascii="仿宋_GB2312" w:hAnsi="宋体" w:eastAsia="仿宋_GB2312"/>
                <w:szCs w:val="21"/>
              </w:rPr>
              <w:t>专</w:t>
            </w:r>
          </w:p>
          <w:p>
            <w:pPr>
              <w:spacing w:line="240" w:lineRule="exact"/>
              <w:rPr>
                <w:rFonts w:ascii="仿宋_GB2312" w:hAnsi="宋体" w:eastAsia="仿宋_GB2312"/>
                <w:szCs w:val="21"/>
              </w:rPr>
            </w:pPr>
            <w:r>
              <w:rPr>
                <w:rFonts w:hint="eastAsia" w:ascii="仿宋_GB2312" w:hAnsi="宋体" w:eastAsia="仿宋_GB2312"/>
                <w:szCs w:val="21"/>
              </w:rPr>
              <w:t>业</w:t>
            </w:r>
          </w:p>
          <w:p>
            <w:pPr>
              <w:spacing w:line="240" w:lineRule="exact"/>
              <w:rPr>
                <w:rFonts w:ascii="仿宋_GB2312" w:hAnsi="宋体" w:eastAsia="仿宋_GB2312"/>
                <w:szCs w:val="21"/>
              </w:rPr>
            </w:pPr>
            <w:r>
              <w:rPr>
                <w:rFonts w:hint="eastAsia" w:ascii="仿宋_GB2312" w:hAnsi="宋体" w:eastAsia="仿宋_GB2312"/>
                <w:szCs w:val="21"/>
              </w:rPr>
              <w:t>核</w:t>
            </w:r>
          </w:p>
          <w:p>
            <w:pPr>
              <w:spacing w:line="240" w:lineRule="exact"/>
              <w:rPr>
                <w:rFonts w:ascii="仿宋_GB2312" w:hAnsi="宋体" w:eastAsia="仿宋_GB2312"/>
                <w:szCs w:val="21"/>
              </w:rPr>
            </w:pPr>
            <w:r>
              <w:rPr>
                <w:rFonts w:hint="eastAsia" w:ascii="仿宋_GB2312" w:hAnsi="宋体" w:eastAsia="仿宋_GB2312"/>
                <w:szCs w:val="21"/>
              </w:rPr>
              <w:t>心</w:t>
            </w:r>
          </w:p>
          <w:p>
            <w:pPr>
              <w:spacing w:line="240" w:lineRule="exact"/>
              <w:rPr>
                <w:rFonts w:ascii="仿宋_GB2312" w:hAnsi="宋体" w:eastAsia="仿宋_GB2312"/>
                <w:szCs w:val="21"/>
              </w:rPr>
            </w:pPr>
            <w:r>
              <w:rPr>
                <w:rFonts w:hint="eastAsia" w:ascii="仿宋_GB2312" w:hAnsi="宋体" w:eastAsia="仿宋_GB2312"/>
                <w:szCs w:val="21"/>
              </w:rPr>
              <w:t>课</w:t>
            </w:r>
          </w:p>
          <w:p>
            <w:pPr>
              <w:spacing w:line="240" w:lineRule="exact"/>
              <w:rPr>
                <w:rFonts w:ascii="仿宋_GB2312" w:hAnsi="宋体" w:eastAsia="仿宋_GB2312"/>
                <w:szCs w:val="21"/>
              </w:rPr>
            </w:pPr>
            <w:r>
              <w:rPr>
                <w:rFonts w:hint="eastAsia" w:ascii="仿宋_GB2312" w:hAnsi="宋体" w:eastAsia="仿宋_GB2312"/>
                <w:szCs w:val="21"/>
              </w:rPr>
              <w:t>程</w:t>
            </w: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9</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市场营销实务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ascii="仿宋_GB2312" w:hAnsi="宋体" w:eastAsia="仿宋_GB2312"/>
                <w:szCs w:val="21"/>
              </w:rPr>
              <w:t>10</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消费心理理论与实务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2</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ascii="仿宋_GB2312" w:hAnsi="宋体" w:eastAsia="仿宋_GB2312"/>
                <w:szCs w:val="21"/>
              </w:rPr>
              <w:t>11</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网络营销实务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1</w:t>
            </w:r>
            <w:r>
              <w:rPr>
                <w:rFonts w:ascii="仿宋_GB2312" w:hAnsi="宋体" w:eastAsia="仿宋_GB2312"/>
                <w:szCs w:val="21"/>
              </w:rPr>
              <w:t>2</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营销策划实务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1</w:t>
            </w:r>
            <w:r>
              <w:rPr>
                <w:rFonts w:ascii="仿宋_GB2312" w:hAnsi="宋体" w:eastAsia="仿宋_GB2312"/>
                <w:szCs w:val="21"/>
              </w:rPr>
              <w:t>3</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市场调查实务</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1</w:t>
            </w:r>
            <w:r>
              <w:rPr>
                <w:rFonts w:ascii="仿宋_GB2312" w:hAnsi="宋体" w:eastAsia="仿宋_GB2312"/>
                <w:szCs w:val="21"/>
              </w:rPr>
              <w:t>4</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商务谈判与推销技巧</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restart"/>
            <w:vAlign w:val="center"/>
          </w:tcPr>
          <w:p>
            <w:pPr>
              <w:spacing w:line="240" w:lineRule="exact"/>
              <w:rPr>
                <w:rFonts w:ascii="仿宋_GB2312" w:hAnsi="宋体" w:eastAsia="仿宋_GB2312"/>
                <w:szCs w:val="21"/>
              </w:rPr>
            </w:pPr>
            <w:r>
              <w:rPr>
                <w:rFonts w:hint="eastAsia" w:ascii="仿宋_GB2312" w:hAnsi="宋体" w:eastAsia="仿宋_GB2312"/>
                <w:szCs w:val="21"/>
              </w:rPr>
              <w:t>专</w:t>
            </w:r>
          </w:p>
          <w:p>
            <w:pPr>
              <w:spacing w:line="240" w:lineRule="exact"/>
              <w:rPr>
                <w:rFonts w:ascii="仿宋_GB2312" w:hAnsi="宋体" w:eastAsia="仿宋_GB2312"/>
                <w:szCs w:val="21"/>
              </w:rPr>
            </w:pPr>
            <w:r>
              <w:rPr>
                <w:rFonts w:hint="eastAsia" w:ascii="仿宋_GB2312" w:hAnsi="宋体" w:eastAsia="仿宋_GB2312"/>
                <w:szCs w:val="21"/>
              </w:rPr>
              <w:t>业</w:t>
            </w:r>
          </w:p>
          <w:p>
            <w:pPr>
              <w:spacing w:line="240" w:lineRule="exact"/>
              <w:rPr>
                <w:rFonts w:ascii="仿宋_GB2312" w:hAnsi="宋体" w:eastAsia="仿宋_GB2312"/>
                <w:szCs w:val="21"/>
              </w:rPr>
            </w:pPr>
            <w:r>
              <w:rPr>
                <w:rFonts w:hint="eastAsia" w:ascii="仿宋_GB2312" w:hAnsi="宋体" w:eastAsia="仿宋_GB2312"/>
                <w:szCs w:val="21"/>
              </w:rPr>
              <w:t>拓</w:t>
            </w:r>
          </w:p>
          <w:p>
            <w:pPr>
              <w:spacing w:line="240" w:lineRule="exact"/>
              <w:rPr>
                <w:rFonts w:ascii="仿宋_GB2312" w:hAnsi="宋体" w:eastAsia="仿宋_GB2312"/>
                <w:szCs w:val="21"/>
              </w:rPr>
            </w:pPr>
            <w:r>
              <w:rPr>
                <w:rFonts w:hint="eastAsia" w:ascii="仿宋_GB2312" w:hAnsi="宋体" w:eastAsia="仿宋_GB2312"/>
                <w:szCs w:val="21"/>
              </w:rPr>
              <w:t>展</w:t>
            </w:r>
          </w:p>
          <w:p>
            <w:pPr>
              <w:spacing w:line="240" w:lineRule="exact"/>
              <w:rPr>
                <w:rFonts w:ascii="仿宋_GB2312" w:hAnsi="宋体" w:eastAsia="仿宋_GB2312"/>
                <w:szCs w:val="21"/>
              </w:rPr>
            </w:pPr>
            <w:r>
              <w:rPr>
                <w:rFonts w:hint="eastAsia" w:ascii="仿宋_GB2312" w:hAnsi="宋体" w:eastAsia="仿宋_GB2312"/>
                <w:szCs w:val="21"/>
              </w:rPr>
              <w:t>课</w:t>
            </w:r>
          </w:p>
          <w:p>
            <w:pPr>
              <w:spacing w:line="240" w:lineRule="exact"/>
              <w:rPr>
                <w:rFonts w:ascii="仿宋_GB2312" w:hAnsi="宋体" w:eastAsia="仿宋_GB2312"/>
                <w:szCs w:val="21"/>
              </w:rPr>
            </w:pPr>
            <w:r>
              <w:rPr>
                <w:rFonts w:hint="eastAsia" w:ascii="仿宋_GB2312" w:hAnsi="宋体" w:eastAsia="仿宋_GB2312"/>
                <w:szCs w:val="21"/>
              </w:rPr>
              <w:t>程</w:t>
            </w: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szCs w:val="21"/>
              </w:rPr>
              <w:t>1</w:t>
            </w:r>
            <w:r>
              <w:rPr>
                <w:rFonts w:ascii="仿宋_GB2312" w:hAnsi="宋体" w:eastAsia="仿宋_GB2312"/>
                <w:szCs w:val="21"/>
              </w:rPr>
              <w:t>5</w:t>
            </w:r>
          </w:p>
        </w:tc>
        <w:tc>
          <w:tcPr>
            <w:tcW w:w="1780" w:type="dxa"/>
            <w:vAlign w:val="center"/>
          </w:tcPr>
          <w:p>
            <w:pPr>
              <w:spacing w:line="240" w:lineRule="exact"/>
              <w:rPr>
                <w:rFonts w:ascii="仿宋_GB2312" w:hAnsi="宋体" w:eastAsia="仿宋_GB2312"/>
                <w:szCs w:val="21"/>
              </w:rPr>
            </w:pPr>
            <w:r>
              <w:rPr>
                <w:rFonts w:hint="eastAsia" w:ascii="仿宋_GB2312" w:hAnsi="宋体" w:eastAsia="仿宋_GB2312"/>
                <w:szCs w:val="21"/>
              </w:rPr>
              <w:t>市场营销技能沙盘</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8</w:t>
            </w: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46</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exact"/>
              <w:jc w:val="center"/>
              <w:rPr>
                <w:rFonts w:ascii="仿宋_GB2312" w:hAnsi="宋体" w:eastAsia="仿宋_GB2312" w:cstheme="minorBidi"/>
                <w:sz w:val="18"/>
                <w:szCs w:val="22"/>
              </w:rPr>
            </w:pPr>
            <w:r>
              <w:rPr>
                <w:rFonts w:hint="eastAsia" w:ascii="仿宋_GB2312" w:hAnsi="宋体" w:eastAsia="仿宋_GB2312"/>
                <w:sz w:val="18"/>
              </w:rPr>
              <w:t>2</w:t>
            </w:r>
          </w:p>
        </w:tc>
        <w:tc>
          <w:tcPr>
            <w:tcW w:w="441" w:type="dxa"/>
            <w:vAlign w:val="center"/>
          </w:tcPr>
          <w:p>
            <w:pPr>
              <w:spacing w:line="240" w:lineRule="exact"/>
              <w:rPr>
                <w:rFonts w:ascii="仿宋_GB2312" w:hAnsi="宋体" w:eastAsia="仿宋_GB2312" w:cstheme="minorBidi"/>
                <w:sz w:val="18"/>
                <w:szCs w:val="22"/>
              </w:rPr>
            </w:pPr>
          </w:p>
        </w:tc>
        <w:tc>
          <w:tcPr>
            <w:tcW w:w="441" w:type="dxa"/>
            <w:vAlign w:val="center"/>
          </w:tcPr>
          <w:p>
            <w:pPr>
              <w:spacing w:line="240" w:lineRule="exact"/>
              <w:rPr>
                <w:rFonts w:ascii="仿宋_GB2312" w:hAnsi="宋体" w:eastAsia="仿宋_GB2312" w:cstheme="minorBidi"/>
                <w:sz w:val="18"/>
                <w:szCs w:val="22"/>
              </w:rPr>
            </w:pPr>
            <w:r>
              <w:rPr>
                <w:rFonts w:hint="eastAsia" w:ascii="仿宋_GB2312" w:hAnsi="宋体" w:eastAsia="仿宋_GB2312"/>
                <w:sz w:val="18"/>
              </w:rPr>
              <w:t>√</w:t>
            </w:r>
          </w:p>
        </w:tc>
        <w:tc>
          <w:tcPr>
            <w:tcW w:w="1556" w:type="dxa"/>
            <w:vAlign w:val="center"/>
          </w:tcPr>
          <w:p>
            <w:pPr>
              <w:spacing w:line="24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71" w:type="dxa"/>
            <w:vMerge w:val="continue"/>
            <w:vAlign w:val="center"/>
          </w:tcPr>
          <w:p>
            <w:pPr>
              <w:spacing w:line="300" w:lineRule="exact"/>
              <w:rPr>
                <w:rFonts w:ascii="仿宋_GB2312" w:hAnsi="宋体" w:eastAsia="仿宋_GB2312"/>
                <w:szCs w:val="21"/>
              </w:rPr>
            </w:pPr>
          </w:p>
        </w:tc>
        <w:tc>
          <w:tcPr>
            <w:tcW w:w="391" w:type="dxa"/>
            <w:vMerge w:val="continue"/>
            <w:vAlign w:val="center"/>
          </w:tcPr>
          <w:p>
            <w:pPr>
              <w:spacing w:line="240" w:lineRule="exact"/>
              <w:rPr>
                <w:rFonts w:ascii="仿宋_GB2312" w:hAnsi="宋体" w:eastAsia="仿宋_GB2312"/>
                <w:szCs w:val="21"/>
              </w:rPr>
            </w:pPr>
          </w:p>
        </w:tc>
        <w:tc>
          <w:tcPr>
            <w:tcW w:w="800" w:type="dxa"/>
            <w:gridSpan w:val="2"/>
            <w:vAlign w:val="center"/>
          </w:tcPr>
          <w:p>
            <w:pPr>
              <w:spacing w:line="240" w:lineRule="atLeast"/>
              <w:jc w:val="center"/>
              <w:rPr>
                <w:rFonts w:ascii="仿宋_GB2312" w:hAnsi="宋体" w:eastAsia="仿宋_GB2312" w:cstheme="minorBidi"/>
                <w:szCs w:val="21"/>
              </w:rPr>
            </w:pPr>
            <w:r>
              <w:rPr>
                <w:rFonts w:hint="eastAsia" w:ascii="仿宋_GB2312" w:hAnsi="宋体" w:eastAsia="仿宋_GB2312" w:cstheme="minorBidi"/>
                <w:szCs w:val="21"/>
              </w:rPr>
              <w:t>16</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直播营销</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12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24</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2</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3</w:t>
            </w:r>
          </w:p>
        </w:tc>
        <w:tc>
          <w:tcPr>
            <w:tcW w:w="441" w:type="dxa"/>
            <w:vAlign w:val="center"/>
          </w:tcPr>
          <w:p>
            <w:pPr>
              <w:spacing w:line="240" w:lineRule="exact"/>
              <w:rPr>
                <w:rFonts w:ascii="仿宋_GB2312" w:hAnsi="宋体" w:eastAsia="仿宋_GB2312" w:cstheme="minorBidi"/>
                <w:sz w:val="18"/>
                <w:szCs w:val="22"/>
              </w:rPr>
            </w:pPr>
          </w:p>
        </w:tc>
        <w:tc>
          <w:tcPr>
            <w:tcW w:w="441" w:type="dxa"/>
            <w:vAlign w:val="center"/>
          </w:tcPr>
          <w:p>
            <w:pPr>
              <w:spacing w:line="240" w:lineRule="exact"/>
              <w:rPr>
                <w:rFonts w:ascii="仿宋_GB2312" w:hAnsi="宋体" w:eastAsia="仿宋_GB2312" w:cstheme="minorBidi"/>
                <w:sz w:val="18"/>
                <w:szCs w:val="22"/>
              </w:rPr>
            </w:pPr>
            <w:r>
              <w:rPr>
                <w:rFonts w:hint="eastAsia" w:ascii="仿宋_GB2312" w:hAnsi="宋体" w:eastAsia="仿宋_GB2312" w:cstheme="minorBidi"/>
                <w:sz w:val="18"/>
                <w:szCs w:val="22"/>
              </w:rPr>
              <w:t>√</w:t>
            </w:r>
          </w:p>
        </w:tc>
        <w:tc>
          <w:tcPr>
            <w:tcW w:w="1556" w:type="dxa"/>
            <w:vAlign w:val="center"/>
          </w:tcPr>
          <w:p>
            <w:pPr>
              <w:spacing w:line="24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71" w:type="dxa"/>
            <w:vMerge w:val="continue"/>
            <w:vAlign w:val="center"/>
          </w:tcPr>
          <w:p>
            <w:pPr>
              <w:spacing w:line="240" w:lineRule="atLeast"/>
              <w:rPr>
                <w:rFonts w:ascii="仿宋_GB2312" w:hAnsi="宋体" w:eastAsia="仿宋_GB2312"/>
                <w:szCs w:val="21"/>
              </w:rPr>
            </w:pPr>
          </w:p>
        </w:tc>
        <w:tc>
          <w:tcPr>
            <w:tcW w:w="391" w:type="dxa"/>
            <w:vMerge w:val="continue"/>
            <w:vAlign w:val="center"/>
          </w:tcPr>
          <w:p>
            <w:pPr>
              <w:spacing w:line="240" w:lineRule="atLeast"/>
              <w:rPr>
                <w:rFonts w:ascii="仿宋_GB2312" w:hAnsi="宋体" w:eastAsia="仿宋_GB2312"/>
                <w:szCs w:val="21"/>
              </w:rPr>
            </w:pPr>
          </w:p>
        </w:tc>
        <w:tc>
          <w:tcPr>
            <w:tcW w:w="396" w:type="dxa"/>
            <w:vMerge w:val="restart"/>
            <w:vAlign w:val="center"/>
          </w:tcPr>
          <w:p>
            <w:pPr>
              <w:spacing w:line="240" w:lineRule="exact"/>
              <w:rPr>
                <w:rFonts w:ascii="仿宋_GB2312" w:hAnsi="宋体" w:eastAsia="仿宋_GB2312"/>
                <w:szCs w:val="21"/>
              </w:rPr>
            </w:pPr>
            <w:r>
              <w:rPr>
                <w:rFonts w:hint="eastAsia" w:ascii="仿宋_GB2312" w:hAnsi="宋体" w:eastAsia="仿宋_GB2312"/>
                <w:szCs w:val="21"/>
              </w:rPr>
              <w:t>专</w:t>
            </w:r>
          </w:p>
          <w:p>
            <w:pPr>
              <w:spacing w:line="240" w:lineRule="exact"/>
              <w:rPr>
                <w:rFonts w:ascii="仿宋_GB2312" w:hAnsi="宋体" w:eastAsia="仿宋_GB2312"/>
                <w:szCs w:val="21"/>
              </w:rPr>
            </w:pPr>
            <w:r>
              <w:rPr>
                <w:rFonts w:hint="eastAsia" w:ascii="仿宋_GB2312" w:hAnsi="宋体" w:eastAsia="仿宋_GB2312"/>
                <w:szCs w:val="21"/>
              </w:rPr>
              <w:t>业</w:t>
            </w:r>
          </w:p>
          <w:p>
            <w:pPr>
              <w:spacing w:line="240" w:lineRule="exact"/>
              <w:rPr>
                <w:rFonts w:ascii="仿宋_GB2312" w:hAnsi="宋体" w:eastAsia="仿宋_GB2312"/>
                <w:szCs w:val="21"/>
              </w:rPr>
            </w:pPr>
            <w:r>
              <w:rPr>
                <w:rFonts w:hint="eastAsia" w:ascii="仿宋_GB2312" w:hAnsi="宋体" w:eastAsia="仿宋_GB2312"/>
                <w:szCs w:val="21"/>
              </w:rPr>
              <w:t>选</w:t>
            </w:r>
          </w:p>
          <w:p>
            <w:pPr>
              <w:spacing w:line="240" w:lineRule="exact"/>
              <w:rPr>
                <w:rFonts w:ascii="仿宋_GB2312" w:hAnsi="宋体" w:eastAsia="仿宋_GB2312"/>
                <w:szCs w:val="21"/>
              </w:rPr>
            </w:pPr>
            <w:r>
              <w:rPr>
                <w:rFonts w:hint="eastAsia" w:ascii="仿宋_GB2312" w:hAnsi="宋体" w:eastAsia="仿宋_GB2312"/>
                <w:szCs w:val="21"/>
              </w:rPr>
              <w:t>修</w:t>
            </w:r>
          </w:p>
          <w:p>
            <w:pPr>
              <w:spacing w:line="240" w:lineRule="exact"/>
              <w:rPr>
                <w:rFonts w:ascii="仿宋_GB2312" w:hAnsi="宋体" w:eastAsia="仿宋_GB2312"/>
                <w:szCs w:val="21"/>
              </w:rPr>
            </w:pPr>
            <w:r>
              <w:rPr>
                <w:rFonts w:hint="eastAsia" w:ascii="仿宋_GB2312" w:hAnsi="宋体" w:eastAsia="仿宋_GB2312"/>
                <w:szCs w:val="21"/>
              </w:rPr>
              <w:t>课</w:t>
            </w:r>
          </w:p>
        </w:tc>
        <w:tc>
          <w:tcPr>
            <w:tcW w:w="404" w:type="dxa"/>
            <w:vAlign w:val="center"/>
          </w:tcPr>
          <w:p>
            <w:pPr>
              <w:spacing w:line="240" w:lineRule="atLeast"/>
              <w:rPr>
                <w:rFonts w:ascii="仿宋_GB2312" w:hAnsi="宋体" w:eastAsia="仿宋_GB2312"/>
                <w:szCs w:val="21"/>
              </w:rPr>
            </w:pPr>
            <w:r>
              <w:rPr>
                <w:rFonts w:hint="eastAsia" w:ascii="仿宋_GB2312" w:hAnsi="宋体" w:eastAsia="仿宋_GB2312"/>
                <w:szCs w:val="21"/>
              </w:rPr>
              <w:t>1</w:t>
            </w:r>
          </w:p>
        </w:tc>
        <w:tc>
          <w:tcPr>
            <w:tcW w:w="1780" w:type="dxa"/>
            <w:vAlign w:val="center"/>
          </w:tcPr>
          <w:p>
            <w:pPr>
              <w:spacing w:line="0" w:lineRule="atLeas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仿宋_GB2312" w:hAnsi="宋体" w:eastAsia="仿宋_GB2312"/>
                <w:szCs w:val="21"/>
              </w:rPr>
              <w:t>促销活动策划与执行</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18</w:t>
            </w:r>
          </w:p>
        </w:tc>
        <w:tc>
          <w:tcPr>
            <w:tcW w:w="709"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36</w:t>
            </w:r>
          </w:p>
        </w:tc>
        <w:tc>
          <w:tcPr>
            <w:tcW w:w="708"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485"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497"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441" w:type="dxa"/>
            <w:vAlign w:val="center"/>
          </w:tcPr>
          <w:p>
            <w:pPr>
              <w:spacing w:line="240" w:lineRule="exact"/>
              <w:rPr>
                <w:rFonts w:ascii="仿宋_GB2312" w:hAnsi="宋体" w:eastAsia="仿宋_GB2312" w:cstheme="minorBidi"/>
                <w:sz w:val="18"/>
                <w:szCs w:val="22"/>
              </w:rPr>
            </w:pPr>
          </w:p>
        </w:tc>
        <w:tc>
          <w:tcPr>
            <w:tcW w:w="441" w:type="dxa"/>
            <w:vAlign w:val="center"/>
          </w:tcPr>
          <w:p>
            <w:pPr>
              <w:spacing w:line="240" w:lineRule="exact"/>
              <w:rPr>
                <w:rFonts w:ascii="仿宋_GB2312" w:hAnsi="宋体" w:eastAsia="仿宋_GB2312" w:cstheme="minorBidi"/>
                <w:sz w:val="18"/>
                <w:szCs w:val="22"/>
              </w:rPr>
            </w:pPr>
            <w:r>
              <w:rPr>
                <w:rFonts w:hint="eastAsia" w:ascii="仿宋_GB2312" w:hAnsi="宋体" w:eastAsia="仿宋_GB2312" w:cstheme="minorBidi"/>
                <w:sz w:val="18"/>
                <w:szCs w:val="22"/>
              </w:rPr>
              <w:t>√</w:t>
            </w:r>
          </w:p>
        </w:tc>
        <w:tc>
          <w:tcPr>
            <w:tcW w:w="1556" w:type="dxa"/>
            <w:vMerge w:val="restart"/>
            <w:vAlign w:val="center"/>
          </w:tcPr>
          <w:p>
            <w:pPr>
              <w:spacing w:line="240" w:lineRule="exact"/>
              <w:rPr>
                <w:rFonts w:ascii="仿宋_GB2312" w:hAnsi="宋体" w:eastAsia="仿宋_GB2312"/>
                <w:szCs w:val="21"/>
              </w:rPr>
            </w:pPr>
            <w:r>
              <w:rPr>
                <w:rFonts w:hint="eastAsia" w:ascii="仿宋_GB2312" w:hAnsi="宋体" w:eastAsia="仿宋_GB2312"/>
                <w:sz w:val="18"/>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71" w:type="dxa"/>
            <w:vMerge w:val="continue"/>
            <w:vAlign w:val="center"/>
          </w:tcPr>
          <w:p>
            <w:pPr>
              <w:spacing w:line="240" w:lineRule="atLeast"/>
              <w:rPr>
                <w:rFonts w:ascii="仿宋_GB2312" w:hAnsi="宋体" w:eastAsia="仿宋_GB2312"/>
                <w:szCs w:val="21"/>
              </w:rPr>
            </w:pPr>
          </w:p>
        </w:tc>
        <w:tc>
          <w:tcPr>
            <w:tcW w:w="391" w:type="dxa"/>
            <w:vMerge w:val="continue"/>
            <w:vAlign w:val="center"/>
          </w:tcPr>
          <w:p>
            <w:pPr>
              <w:spacing w:line="240" w:lineRule="atLeast"/>
              <w:rPr>
                <w:rFonts w:ascii="仿宋_GB2312" w:hAnsi="宋体" w:eastAsia="仿宋_GB2312"/>
                <w:szCs w:val="21"/>
              </w:rPr>
            </w:pPr>
          </w:p>
        </w:tc>
        <w:tc>
          <w:tcPr>
            <w:tcW w:w="396" w:type="dxa"/>
            <w:vMerge w:val="continue"/>
            <w:vAlign w:val="center"/>
          </w:tcPr>
          <w:p>
            <w:pPr>
              <w:spacing w:line="240" w:lineRule="atLeast"/>
              <w:rPr>
                <w:rFonts w:ascii="仿宋_GB2312" w:hAnsi="宋体" w:eastAsia="仿宋_GB2312"/>
                <w:szCs w:val="21"/>
              </w:rPr>
            </w:pPr>
          </w:p>
        </w:tc>
        <w:tc>
          <w:tcPr>
            <w:tcW w:w="404" w:type="dxa"/>
            <w:vAlign w:val="center"/>
          </w:tcPr>
          <w:p>
            <w:pPr>
              <w:spacing w:line="240" w:lineRule="atLeast"/>
              <w:rPr>
                <w:rFonts w:ascii="仿宋_GB2312" w:hAnsi="宋体" w:eastAsia="仿宋_GB2312"/>
                <w:szCs w:val="21"/>
              </w:rPr>
            </w:pPr>
            <w:r>
              <w:rPr>
                <w:rFonts w:hint="eastAsia" w:ascii="仿宋_GB2312" w:hAnsi="宋体" w:eastAsia="仿宋_GB2312"/>
                <w:szCs w:val="21"/>
              </w:rPr>
              <w:t>2</w:t>
            </w:r>
          </w:p>
        </w:tc>
        <w:tc>
          <w:tcPr>
            <w:tcW w:w="1780" w:type="dxa"/>
            <w:vAlign w:val="center"/>
          </w:tcPr>
          <w:p>
            <w:pPr>
              <w:spacing w:line="240" w:lineRule="atLeast"/>
              <w:rPr>
                <w:rFonts w:ascii="仿宋_GB2312" w:hAnsi="宋体" w:eastAsia="仿宋_GB2312"/>
                <w:szCs w:val="21"/>
              </w:rPr>
            </w:pPr>
            <w:r>
              <w:rPr>
                <w:rFonts w:hint="eastAsia" w:ascii="仿宋_GB2312" w:hAnsi="宋体" w:eastAsia="仿宋_GB2312"/>
                <w:szCs w:val="21"/>
              </w:rPr>
              <w:t>品牌策划与推广</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54</w:t>
            </w:r>
          </w:p>
        </w:tc>
        <w:tc>
          <w:tcPr>
            <w:tcW w:w="709"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18</w:t>
            </w:r>
          </w:p>
        </w:tc>
        <w:tc>
          <w:tcPr>
            <w:tcW w:w="709"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36</w:t>
            </w:r>
          </w:p>
        </w:tc>
        <w:tc>
          <w:tcPr>
            <w:tcW w:w="708"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485"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497" w:type="dxa"/>
            <w:vAlign w:val="center"/>
          </w:tcPr>
          <w:p>
            <w:pPr>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w:t>
            </w:r>
          </w:p>
        </w:tc>
        <w:tc>
          <w:tcPr>
            <w:tcW w:w="441" w:type="dxa"/>
            <w:vAlign w:val="center"/>
          </w:tcPr>
          <w:p>
            <w:pPr>
              <w:spacing w:line="240" w:lineRule="exact"/>
              <w:rPr>
                <w:rFonts w:ascii="仿宋_GB2312" w:hAnsi="宋体" w:eastAsia="仿宋_GB2312" w:cstheme="minorBidi"/>
                <w:sz w:val="18"/>
                <w:szCs w:val="22"/>
              </w:rPr>
            </w:pPr>
          </w:p>
        </w:tc>
        <w:tc>
          <w:tcPr>
            <w:tcW w:w="441" w:type="dxa"/>
            <w:vAlign w:val="center"/>
          </w:tcPr>
          <w:p>
            <w:pPr>
              <w:spacing w:line="240" w:lineRule="exact"/>
              <w:rPr>
                <w:rFonts w:ascii="仿宋_GB2312" w:hAnsi="宋体" w:eastAsia="仿宋_GB2312" w:cstheme="minorBidi"/>
                <w:sz w:val="18"/>
                <w:szCs w:val="22"/>
              </w:rPr>
            </w:pPr>
            <w:r>
              <w:rPr>
                <w:rFonts w:hint="eastAsia" w:ascii="仿宋_GB2312" w:hAnsi="宋体" w:eastAsia="仿宋_GB2312" w:cstheme="minorBidi"/>
                <w:sz w:val="18"/>
                <w:szCs w:val="22"/>
              </w:rPr>
              <w:t>√</w:t>
            </w:r>
          </w:p>
        </w:tc>
        <w:tc>
          <w:tcPr>
            <w:tcW w:w="1556" w:type="dxa"/>
            <w:vMerge w:val="continue"/>
            <w:vAlign w:val="center"/>
          </w:tcPr>
          <w:p>
            <w:pPr>
              <w:spacing w:line="24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71" w:type="dxa"/>
            <w:vMerge w:val="continue"/>
            <w:vAlign w:val="center"/>
          </w:tcPr>
          <w:p>
            <w:pPr>
              <w:spacing w:line="240" w:lineRule="atLeast"/>
              <w:rPr>
                <w:rFonts w:ascii="仿宋_GB2312" w:hAnsi="宋体" w:eastAsia="仿宋_GB2312"/>
                <w:szCs w:val="21"/>
              </w:rPr>
            </w:pPr>
          </w:p>
        </w:tc>
        <w:tc>
          <w:tcPr>
            <w:tcW w:w="391" w:type="dxa"/>
            <w:vMerge w:val="continue"/>
            <w:vAlign w:val="center"/>
          </w:tcPr>
          <w:p>
            <w:pPr>
              <w:spacing w:line="240" w:lineRule="atLeast"/>
              <w:rPr>
                <w:rFonts w:ascii="仿宋_GB2312" w:hAnsi="宋体" w:eastAsia="仿宋_GB2312"/>
                <w:szCs w:val="21"/>
              </w:rPr>
            </w:pPr>
          </w:p>
        </w:tc>
        <w:tc>
          <w:tcPr>
            <w:tcW w:w="396" w:type="dxa"/>
            <w:vMerge w:val="continue"/>
            <w:vAlign w:val="center"/>
          </w:tcPr>
          <w:p>
            <w:pPr>
              <w:spacing w:line="240" w:lineRule="atLeast"/>
              <w:rPr>
                <w:rFonts w:ascii="仿宋_GB2312" w:hAnsi="宋体" w:eastAsia="仿宋_GB2312"/>
                <w:szCs w:val="21"/>
              </w:rPr>
            </w:pPr>
          </w:p>
        </w:tc>
        <w:tc>
          <w:tcPr>
            <w:tcW w:w="404" w:type="dxa"/>
            <w:vAlign w:val="center"/>
          </w:tcPr>
          <w:p>
            <w:pPr>
              <w:spacing w:line="240" w:lineRule="exact"/>
              <w:rPr>
                <w:rFonts w:ascii="仿宋_GB2312" w:hAnsi="宋体" w:eastAsia="仿宋_GB2312"/>
                <w:szCs w:val="21"/>
              </w:rPr>
            </w:pPr>
            <w:r>
              <w:rPr>
                <w:rFonts w:hint="eastAsia" w:ascii="仿宋_GB2312" w:hAnsi="宋体" w:eastAsia="仿宋_GB2312"/>
                <w:szCs w:val="21"/>
              </w:rPr>
              <w:t>小计</w:t>
            </w:r>
          </w:p>
        </w:tc>
        <w:tc>
          <w:tcPr>
            <w:tcW w:w="1780" w:type="dxa"/>
            <w:vAlign w:val="center"/>
          </w:tcPr>
          <w:p>
            <w:pPr>
              <w:spacing w:line="240" w:lineRule="atLeast"/>
              <w:rPr>
                <w:rFonts w:ascii="仿宋_GB2312" w:hAnsi="宋体" w:eastAsia="仿宋_GB2312"/>
                <w:szCs w:val="21"/>
              </w:rPr>
            </w:pPr>
          </w:p>
        </w:tc>
        <w:tc>
          <w:tcPr>
            <w:tcW w:w="650" w:type="dxa"/>
            <w:vAlign w:val="center"/>
          </w:tcPr>
          <w:p>
            <w:pPr>
              <w:spacing w:line="240" w:lineRule="atLeast"/>
              <w:jc w:val="center"/>
              <w:rPr>
                <w:rFonts w:ascii="仿宋_GB2312" w:hAnsi="宋体" w:eastAsia="仿宋_GB2312"/>
                <w:szCs w:val="21"/>
              </w:rPr>
            </w:pPr>
          </w:p>
        </w:tc>
        <w:tc>
          <w:tcPr>
            <w:tcW w:w="709" w:type="dxa"/>
            <w:vAlign w:val="center"/>
          </w:tcPr>
          <w:p>
            <w:pPr>
              <w:spacing w:line="240" w:lineRule="atLeast"/>
              <w:jc w:val="center"/>
              <w:rPr>
                <w:rFonts w:ascii="仿宋_GB2312" w:hAnsi="宋体" w:eastAsia="仿宋_GB2312"/>
                <w:szCs w:val="21"/>
              </w:rPr>
            </w:pPr>
          </w:p>
        </w:tc>
        <w:tc>
          <w:tcPr>
            <w:tcW w:w="709" w:type="dxa"/>
            <w:vAlign w:val="center"/>
          </w:tcPr>
          <w:p>
            <w:pPr>
              <w:spacing w:line="240" w:lineRule="atLeast"/>
              <w:jc w:val="center"/>
              <w:rPr>
                <w:rFonts w:ascii="仿宋_GB2312" w:hAnsi="宋体" w:eastAsia="仿宋_GB2312"/>
                <w:szCs w:val="21"/>
              </w:rPr>
            </w:pPr>
          </w:p>
        </w:tc>
        <w:tc>
          <w:tcPr>
            <w:tcW w:w="708" w:type="dxa"/>
            <w:vAlign w:val="center"/>
          </w:tcPr>
          <w:p>
            <w:pPr>
              <w:spacing w:line="240" w:lineRule="atLeast"/>
              <w:jc w:val="center"/>
              <w:rPr>
                <w:rFonts w:ascii="仿宋_GB2312" w:hAnsi="宋体" w:eastAsia="仿宋_GB2312"/>
                <w:szCs w:val="21"/>
              </w:rPr>
            </w:pPr>
          </w:p>
        </w:tc>
        <w:tc>
          <w:tcPr>
            <w:tcW w:w="485" w:type="dxa"/>
            <w:vAlign w:val="center"/>
          </w:tcPr>
          <w:p>
            <w:pPr>
              <w:spacing w:line="240" w:lineRule="atLeast"/>
              <w:jc w:val="center"/>
              <w:rPr>
                <w:rFonts w:ascii="仿宋_GB2312" w:hAnsi="宋体" w:eastAsia="仿宋_GB2312"/>
                <w:szCs w:val="21"/>
              </w:rPr>
            </w:pPr>
          </w:p>
        </w:tc>
        <w:tc>
          <w:tcPr>
            <w:tcW w:w="497" w:type="dxa"/>
            <w:vAlign w:val="center"/>
          </w:tcPr>
          <w:p>
            <w:pPr>
              <w:spacing w:line="240" w:lineRule="atLeast"/>
              <w:jc w:val="center"/>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p>
        </w:tc>
        <w:tc>
          <w:tcPr>
            <w:tcW w:w="1556" w:type="dxa"/>
            <w:vMerge w:val="continue"/>
            <w:vAlign w:val="center"/>
          </w:tcPr>
          <w:p>
            <w:pPr>
              <w:spacing w:line="24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342" w:type="dxa"/>
            <w:gridSpan w:val="5"/>
            <w:vAlign w:val="center"/>
          </w:tcPr>
          <w:p>
            <w:pPr>
              <w:spacing w:line="240" w:lineRule="exact"/>
              <w:rPr>
                <w:rFonts w:ascii="仿宋_GB2312" w:hAnsi="宋体" w:eastAsia="仿宋_GB2312"/>
                <w:sz w:val="18"/>
              </w:rPr>
            </w:pPr>
            <w:r>
              <w:rPr>
                <w:rFonts w:hint="eastAsia" w:ascii="仿宋_GB2312" w:hAnsi="宋体" w:eastAsia="仿宋_GB2312"/>
                <w:sz w:val="18"/>
              </w:rPr>
              <w:t>小计：（学时控制在954—1008之间，学分控制在53—56之间）</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990</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462</w:t>
            </w: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528</w:t>
            </w:r>
          </w:p>
        </w:tc>
        <w:tc>
          <w:tcPr>
            <w:tcW w:w="708" w:type="dxa"/>
            <w:vAlign w:val="center"/>
          </w:tcPr>
          <w:p>
            <w:pPr>
              <w:spacing w:line="240" w:lineRule="atLeast"/>
              <w:jc w:val="center"/>
              <w:rPr>
                <w:rFonts w:ascii="仿宋_GB2312" w:hAnsi="宋体" w:eastAsia="仿宋_GB2312"/>
                <w:szCs w:val="21"/>
              </w:rPr>
            </w:pP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55</w:t>
            </w:r>
          </w:p>
        </w:tc>
        <w:tc>
          <w:tcPr>
            <w:tcW w:w="497"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24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2" w:type="dxa"/>
            <w:gridSpan w:val="2"/>
            <w:vMerge w:val="restart"/>
            <w:vAlign w:val="center"/>
          </w:tcPr>
          <w:p>
            <w:pPr>
              <w:spacing w:line="240" w:lineRule="atLeast"/>
              <w:rPr>
                <w:rFonts w:ascii="仿宋_GB2312" w:hAnsi="宋体" w:eastAsia="仿宋_GB2312"/>
                <w:szCs w:val="21"/>
              </w:rPr>
            </w:pPr>
            <w:r>
              <w:rPr>
                <w:rFonts w:hint="eastAsia" w:ascii="仿宋_GB2312" w:hAnsi="宋体" w:eastAsia="仿宋_GB2312"/>
                <w:szCs w:val="21"/>
              </w:rPr>
              <w:t>集中实践模 块</w:t>
            </w:r>
          </w:p>
        </w:tc>
        <w:tc>
          <w:tcPr>
            <w:tcW w:w="396" w:type="dxa"/>
            <w:vAlign w:val="center"/>
          </w:tcPr>
          <w:p>
            <w:pPr>
              <w:spacing w:line="240" w:lineRule="atLeast"/>
              <w:rPr>
                <w:rFonts w:ascii="仿宋_GB2312" w:hAnsi="宋体" w:eastAsia="仿宋_GB2312"/>
                <w:sz w:val="18"/>
              </w:rPr>
            </w:pPr>
            <w:r>
              <w:rPr>
                <w:rFonts w:hint="eastAsia" w:ascii="仿宋_GB2312" w:hAnsi="宋体" w:eastAsia="仿宋_GB2312"/>
                <w:sz w:val="18"/>
              </w:rPr>
              <w:t>1</w:t>
            </w:r>
          </w:p>
        </w:tc>
        <w:tc>
          <w:tcPr>
            <w:tcW w:w="2184"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商务礼仪实训</w:t>
            </w:r>
          </w:p>
        </w:tc>
        <w:tc>
          <w:tcPr>
            <w:tcW w:w="65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exact"/>
              <w:jc w:val="center"/>
              <w:rPr>
                <w:rFonts w:ascii="仿宋_GB2312" w:hAnsi="宋体" w:eastAsia="仿宋_GB2312"/>
                <w:szCs w:val="21"/>
              </w:rPr>
            </w:pP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w:t>
            </w:r>
          </w:p>
        </w:tc>
        <w:tc>
          <w:tcPr>
            <w:tcW w:w="497" w:type="dxa"/>
            <w:vAlign w:val="center"/>
          </w:tcPr>
          <w:p>
            <w:pPr>
              <w:spacing w:line="240" w:lineRule="exact"/>
              <w:jc w:val="center"/>
              <w:rPr>
                <w:rFonts w:ascii="仿宋_GB2312" w:hAnsi="宋体" w:eastAsia="仿宋_GB2312"/>
                <w:sz w:val="18"/>
              </w:rPr>
            </w:pPr>
            <w:r>
              <w:rPr>
                <w:rFonts w:hint="eastAsia" w:ascii="仿宋_GB2312" w:hAnsi="宋体" w:eastAsia="仿宋_GB2312"/>
                <w:sz w:val="18"/>
              </w:rPr>
              <w:t>2</w:t>
            </w:r>
          </w:p>
        </w:tc>
        <w:tc>
          <w:tcPr>
            <w:tcW w:w="441" w:type="dxa"/>
            <w:vAlign w:val="center"/>
          </w:tcPr>
          <w:p>
            <w:pPr>
              <w:spacing w:line="240" w:lineRule="exact"/>
              <w:rPr>
                <w:rFonts w:ascii="仿宋_GB2312" w:hAnsi="宋体" w:eastAsia="仿宋_GB2312"/>
                <w:sz w:val="18"/>
              </w:rPr>
            </w:pPr>
          </w:p>
        </w:tc>
        <w:tc>
          <w:tcPr>
            <w:tcW w:w="441" w:type="dxa"/>
            <w:vAlign w:val="center"/>
          </w:tcPr>
          <w:p>
            <w:pPr>
              <w:spacing w:line="240" w:lineRule="exact"/>
              <w:rPr>
                <w:rFonts w:ascii="仿宋_GB2312" w:hAnsi="宋体" w:eastAsia="仿宋_GB2312"/>
                <w:sz w:val="18"/>
              </w:rPr>
            </w:pPr>
            <w:r>
              <w:rPr>
                <w:rFonts w:hint="eastAsia" w:ascii="仿宋_GB2312" w:hAnsi="宋体" w:eastAsia="仿宋_GB2312"/>
                <w:sz w:val="18"/>
              </w:rPr>
              <w:t>√</w:t>
            </w:r>
          </w:p>
        </w:tc>
        <w:tc>
          <w:tcPr>
            <w:tcW w:w="1556" w:type="dxa"/>
            <w:vAlign w:val="center"/>
          </w:tcPr>
          <w:p>
            <w:pPr>
              <w:spacing w:line="240" w:lineRule="exact"/>
              <w:rPr>
                <w:rFonts w:ascii="仿宋_GB2312" w:hAnsi="宋体" w:eastAsia="仿宋_GB2312"/>
                <w:sz w:val="18"/>
              </w:rPr>
            </w:pPr>
            <w:r>
              <w:rPr>
                <w:rFonts w:hint="eastAsia" w:ascii="仿宋_GB2312" w:hAnsi="宋体" w:eastAsia="仿宋_GB2312"/>
                <w:sz w:val="18"/>
              </w:rPr>
              <w:t>累计不超过60课时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2" w:type="dxa"/>
            <w:gridSpan w:val="2"/>
            <w:vMerge w:val="continue"/>
            <w:vAlign w:val="center"/>
          </w:tcPr>
          <w:p>
            <w:pPr>
              <w:spacing w:line="240" w:lineRule="atLeast"/>
              <w:rPr>
                <w:rFonts w:ascii="仿宋_GB2312" w:hAnsi="宋体" w:eastAsia="仿宋_GB2312"/>
                <w:szCs w:val="21"/>
              </w:rPr>
            </w:pPr>
          </w:p>
        </w:tc>
        <w:tc>
          <w:tcPr>
            <w:tcW w:w="396" w:type="dxa"/>
            <w:vAlign w:val="center"/>
          </w:tcPr>
          <w:p>
            <w:pPr>
              <w:spacing w:line="240" w:lineRule="atLeast"/>
              <w:rPr>
                <w:rFonts w:ascii="仿宋_GB2312" w:hAnsi="宋体" w:eastAsia="仿宋_GB2312"/>
                <w:sz w:val="18"/>
              </w:rPr>
            </w:pPr>
            <w:r>
              <w:rPr>
                <w:rFonts w:hint="eastAsia" w:ascii="仿宋_GB2312" w:hAnsi="宋体" w:eastAsia="仿宋_GB2312"/>
                <w:sz w:val="18"/>
              </w:rPr>
              <w:t>2</w:t>
            </w:r>
          </w:p>
        </w:tc>
        <w:tc>
          <w:tcPr>
            <w:tcW w:w="2184"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市场营销综合实训</w:t>
            </w:r>
          </w:p>
        </w:tc>
        <w:tc>
          <w:tcPr>
            <w:tcW w:w="65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36</w:t>
            </w:r>
          </w:p>
        </w:tc>
        <w:tc>
          <w:tcPr>
            <w:tcW w:w="709" w:type="dxa"/>
            <w:vAlign w:val="center"/>
          </w:tcPr>
          <w:p>
            <w:pPr>
              <w:spacing w:line="240" w:lineRule="exact"/>
              <w:jc w:val="center"/>
              <w:rPr>
                <w:rFonts w:ascii="仿宋_GB2312" w:hAnsi="宋体" w:eastAsia="仿宋_GB2312"/>
                <w:szCs w:val="21"/>
              </w:rPr>
            </w:pP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36</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4</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w:t>
            </w:r>
          </w:p>
        </w:tc>
        <w:tc>
          <w:tcPr>
            <w:tcW w:w="497" w:type="dxa"/>
            <w:vAlign w:val="center"/>
          </w:tcPr>
          <w:p>
            <w:pPr>
              <w:spacing w:line="240" w:lineRule="exact"/>
              <w:jc w:val="center"/>
              <w:rPr>
                <w:rFonts w:ascii="仿宋_GB2312" w:hAnsi="宋体" w:eastAsia="仿宋_GB2312"/>
                <w:szCs w:val="21"/>
              </w:rPr>
            </w:pPr>
            <w:r>
              <w:rPr>
                <w:rFonts w:hint="eastAsia" w:ascii="仿宋_GB2312" w:hAnsi="宋体" w:eastAsia="仿宋_GB2312"/>
                <w:sz w:val="18"/>
              </w:rPr>
              <w:t>2</w:t>
            </w:r>
          </w:p>
        </w:tc>
        <w:tc>
          <w:tcPr>
            <w:tcW w:w="441" w:type="dxa"/>
            <w:vAlign w:val="center"/>
          </w:tcPr>
          <w:p>
            <w:pPr>
              <w:spacing w:line="240" w:lineRule="exact"/>
              <w:rPr>
                <w:rFonts w:ascii="仿宋_GB2312" w:hAnsi="宋体" w:eastAsia="仿宋_GB2312"/>
                <w:szCs w:val="21"/>
              </w:rPr>
            </w:pPr>
          </w:p>
        </w:tc>
        <w:tc>
          <w:tcPr>
            <w:tcW w:w="441" w:type="dxa"/>
            <w:vAlign w:val="center"/>
          </w:tcPr>
          <w:p>
            <w:pPr>
              <w:spacing w:line="240" w:lineRule="exact"/>
              <w:rPr>
                <w:rFonts w:ascii="仿宋_GB2312" w:hAnsi="宋体" w:eastAsia="仿宋_GB2312"/>
                <w:sz w:val="18"/>
              </w:rPr>
            </w:pPr>
            <w:r>
              <w:rPr>
                <w:rFonts w:hint="eastAsia" w:ascii="仿宋_GB2312" w:hAnsi="宋体" w:eastAsia="仿宋_GB2312"/>
                <w:sz w:val="18"/>
              </w:rPr>
              <w:t>√</w:t>
            </w:r>
          </w:p>
        </w:tc>
        <w:tc>
          <w:tcPr>
            <w:tcW w:w="1556" w:type="dxa"/>
            <w:vAlign w:val="center"/>
          </w:tcPr>
          <w:p>
            <w:pPr>
              <w:spacing w:line="240" w:lineRule="exact"/>
              <w:rPr>
                <w:rFonts w:ascii="仿宋_GB2312" w:hAnsi="宋体" w:eastAsia="仿宋_GB2312"/>
                <w:sz w:val="18"/>
              </w:rPr>
            </w:pPr>
            <w:r>
              <w:rPr>
                <w:rFonts w:hint="eastAsia" w:ascii="仿宋_GB2312" w:hAnsi="宋体" w:eastAsia="仿宋_GB2312"/>
                <w:sz w:val="18"/>
              </w:rPr>
              <w:t>累计不超过60课时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2" w:type="dxa"/>
            <w:gridSpan w:val="2"/>
            <w:vMerge w:val="continue"/>
            <w:vAlign w:val="center"/>
          </w:tcPr>
          <w:p>
            <w:pPr>
              <w:spacing w:line="240" w:lineRule="atLeast"/>
              <w:rPr>
                <w:rFonts w:ascii="仿宋_GB2312" w:hAnsi="宋体" w:eastAsia="仿宋_GB2312"/>
                <w:szCs w:val="21"/>
              </w:rPr>
            </w:pPr>
          </w:p>
        </w:tc>
        <w:tc>
          <w:tcPr>
            <w:tcW w:w="396" w:type="dxa"/>
            <w:vAlign w:val="center"/>
          </w:tcPr>
          <w:p>
            <w:pPr>
              <w:spacing w:line="240" w:lineRule="atLeast"/>
              <w:rPr>
                <w:rFonts w:ascii="仿宋_GB2312" w:hAnsi="宋体" w:eastAsia="仿宋_GB2312"/>
                <w:sz w:val="18"/>
              </w:rPr>
            </w:pPr>
            <w:r>
              <w:rPr>
                <w:rFonts w:hint="eastAsia" w:ascii="仿宋_GB2312" w:hAnsi="宋体" w:eastAsia="仿宋_GB2312"/>
                <w:sz w:val="18"/>
              </w:rPr>
              <w:t>3</w:t>
            </w:r>
          </w:p>
        </w:tc>
        <w:tc>
          <w:tcPr>
            <w:tcW w:w="2184"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专业技能大赛培训</w:t>
            </w:r>
          </w:p>
        </w:tc>
        <w:tc>
          <w:tcPr>
            <w:tcW w:w="65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20</w:t>
            </w:r>
          </w:p>
        </w:tc>
        <w:tc>
          <w:tcPr>
            <w:tcW w:w="709" w:type="dxa"/>
            <w:vAlign w:val="center"/>
          </w:tcPr>
          <w:p>
            <w:pPr>
              <w:spacing w:line="240" w:lineRule="exact"/>
              <w:jc w:val="center"/>
              <w:rPr>
                <w:rFonts w:ascii="仿宋_GB2312" w:hAnsi="宋体" w:eastAsia="仿宋_GB2312"/>
                <w:szCs w:val="21"/>
              </w:rPr>
            </w:pP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20</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w:t>
            </w:r>
          </w:p>
        </w:tc>
        <w:tc>
          <w:tcPr>
            <w:tcW w:w="497" w:type="dxa"/>
            <w:vAlign w:val="center"/>
          </w:tcPr>
          <w:p>
            <w:pPr>
              <w:spacing w:line="240" w:lineRule="exact"/>
              <w:jc w:val="center"/>
              <w:rPr>
                <w:rFonts w:ascii="仿宋_GB2312" w:hAnsi="宋体" w:eastAsia="仿宋_GB2312"/>
                <w:sz w:val="18"/>
              </w:rPr>
            </w:pPr>
            <w:r>
              <w:rPr>
                <w:rFonts w:hint="eastAsia" w:ascii="仿宋_GB2312" w:hAnsi="宋体" w:eastAsia="仿宋_GB2312"/>
                <w:sz w:val="18"/>
              </w:rPr>
              <w:t>2</w:t>
            </w:r>
          </w:p>
        </w:tc>
        <w:tc>
          <w:tcPr>
            <w:tcW w:w="441" w:type="dxa"/>
            <w:vAlign w:val="center"/>
          </w:tcPr>
          <w:p>
            <w:pPr>
              <w:spacing w:line="240" w:lineRule="exact"/>
              <w:rPr>
                <w:rFonts w:ascii="仿宋_GB2312" w:hAnsi="宋体" w:eastAsia="仿宋_GB2312"/>
                <w:szCs w:val="21"/>
              </w:rPr>
            </w:pPr>
          </w:p>
        </w:tc>
        <w:tc>
          <w:tcPr>
            <w:tcW w:w="441" w:type="dxa"/>
            <w:vAlign w:val="center"/>
          </w:tcPr>
          <w:p>
            <w:pPr>
              <w:spacing w:line="240" w:lineRule="exact"/>
              <w:rPr>
                <w:rFonts w:ascii="仿宋_GB2312" w:hAnsi="宋体" w:eastAsia="仿宋_GB2312"/>
                <w:sz w:val="18"/>
              </w:rPr>
            </w:pPr>
          </w:p>
        </w:tc>
        <w:tc>
          <w:tcPr>
            <w:tcW w:w="1556" w:type="dxa"/>
            <w:vAlign w:val="center"/>
          </w:tcPr>
          <w:p>
            <w:pPr>
              <w:spacing w:line="240" w:lineRule="exact"/>
              <w:rPr>
                <w:rFonts w:ascii="仿宋_GB2312" w:hAnsi="宋体" w:eastAsia="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62" w:type="dxa"/>
            <w:gridSpan w:val="2"/>
            <w:vMerge w:val="continue"/>
            <w:vAlign w:val="center"/>
          </w:tcPr>
          <w:p>
            <w:pPr>
              <w:spacing w:line="240" w:lineRule="atLeast"/>
              <w:rPr>
                <w:rFonts w:ascii="仿宋_GB2312" w:hAnsi="宋体" w:eastAsia="仿宋_GB2312"/>
                <w:szCs w:val="21"/>
              </w:rPr>
            </w:pPr>
          </w:p>
        </w:tc>
        <w:tc>
          <w:tcPr>
            <w:tcW w:w="396" w:type="dxa"/>
            <w:vAlign w:val="center"/>
          </w:tcPr>
          <w:p>
            <w:pPr>
              <w:spacing w:line="240" w:lineRule="atLeast"/>
              <w:rPr>
                <w:rFonts w:ascii="仿宋_GB2312" w:hAnsi="宋体" w:eastAsia="仿宋_GB2312"/>
                <w:sz w:val="18"/>
              </w:rPr>
            </w:pPr>
            <w:r>
              <w:rPr>
                <w:rFonts w:hint="eastAsia" w:ascii="仿宋_GB2312" w:hAnsi="宋体" w:eastAsia="仿宋_GB2312"/>
                <w:sz w:val="18"/>
              </w:rPr>
              <w:t>4</w:t>
            </w:r>
          </w:p>
        </w:tc>
        <w:tc>
          <w:tcPr>
            <w:tcW w:w="2184"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1+X证书培训</w:t>
            </w:r>
          </w:p>
        </w:tc>
        <w:tc>
          <w:tcPr>
            <w:tcW w:w="65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60</w:t>
            </w:r>
          </w:p>
        </w:tc>
        <w:tc>
          <w:tcPr>
            <w:tcW w:w="709" w:type="dxa"/>
            <w:vAlign w:val="center"/>
          </w:tcPr>
          <w:p>
            <w:pPr>
              <w:spacing w:line="240" w:lineRule="exact"/>
              <w:jc w:val="center"/>
              <w:rPr>
                <w:rFonts w:ascii="仿宋_GB2312" w:hAnsi="宋体" w:eastAsia="仿宋_GB2312"/>
                <w:szCs w:val="21"/>
              </w:rPr>
            </w:pP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60</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2</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w:t>
            </w:r>
          </w:p>
        </w:tc>
        <w:tc>
          <w:tcPr>
            <w:tcW w:w="497" w:type="dxa"/>
            <w:vAlign w:val="center"/>
          </w:tcPr>
          <w:p>
            <w:pPr>
              <w:spacing w:line="240" w:lineRule="atLeast"/>
              <w:jc w:val="center"/>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p>
        </w:tc>
        <w:tc>
          <w:tcPr>
            <w:tcW w:w="1556" w:type="dxa"/>
            <w:vAlign w:val="center"/>
          </w:tcPr>
          <w:p>
            <w:pPr>
              <w:spacing w:line="240" w:lineRule="exact"/>
              <w:rPr>
                <w:rFonts w:ascii="仿宋_GB2312" w:hAnsi="宋体" w:eastAsia="仿宋_GB2312"/>
                <w:sz w:val="18"/>
              </w:rPr>
            </w:pPr>
            <w:r>
              <w:rPr>
                <w:rFonts w:hint="eastAsia" w:ascii="仿宋_GB2312" w:hAnsi="宋体" w:eastAsia="仿宋_GB2312"/>
                <w:sz w:val="18"/>
              </w:rPr>
              <w:t>实验实训中心不单列课时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62" w:type="dxa"/>
            <w:gridSpan w:val="2"/>
            <w:vMerge w:val="continue"/>
            <w:vAlign w:val="center"/>
          </w:tcPr>
          <w:p>
            <w:pPr>
              <w:spacing w:line="240" w:lineRule="atLeast"/>
              <w:rPr>
                <w:rFonts w:ascii="仿宋_GB2312" w:hAnsi="宋体" w:eastAsia="仿宋_GB2312"/>
                <w:szCs w:val="21"/>
              </w:rPr>
            </w:pPr>
          </w:p>
        </w:tc>
        <w:tc>
          <w:tcPr>
            <w:tcW w:w="396" w:type="dxa"/>
            <w:vAlign w:val="center"/>
          </w:tcPr>
          <w:p>
            <w:pPr>
              <w:spacing w:line="240" w:lineRule="atLeast"/>
              <w:rPr>
                <w:rFonts w:ascii="仿宋_GB2312" w:hAnsi="宋体" w:eastAsia="仿宋_GB2312"/>
                <w:szCs w:val="21"/>
              </w:rPr>
            </w:pPr>
            <w:r>
              <w:rPr>
                <w:rFonts w:hint="eastAsia" w:ascii="仿宋_GB2312" w:hAnsi="宋体" w:eastAsia="仿宋_GB2312"/>
                <w:szCs w:val="21"/>
              </w:rPr>
              <w:t>5</w:t>
            </w:r>
          </w:p>
        </w:tc>
        <w:tc>
          <w:tcPr>
            <w:tcW w:w="2184"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毕业设计</w:t>
            </w:r>
          </w:p>
        </w:tc>
        <w:tc>
          <w:tcPr>
            <w:tcW w:w="65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120</w:t>
            </w:r>
          </w:p>
        </w:tc>
        <w:tc>
          <w:tcPr>
            <w:tcW w:w="709" w:type="dxa"/>
            <w:vAlign w:val="center"/>
          </w:tcPr>
          <w:p>
            <w:pPr>
              <w:spacing w:line="240" w:lineRule="exact"/>
              <w:jc w:val="center"/>
              <w:rPr>
                <w:rFonts w:ascii="仿宋_GB2312" w:hAnsi="宋体" w:eastAsia="仿宋_GB2312"/>
                <w:szCs w:val="21"/>
              </w:rPr>
            </w:pP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120</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5</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6</w:t>
            </w:r>
          </w:p>
        </w:tc>
        <w:tc>
          <w:tcPr>
            <w:tcW w:w="49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 w:val="18"/>
              </w:rPr>
            </w:pPr>
          </w:p>
        </w:tc>
        <w:tc>
          <w:tcPr>
            <w:tcW w:w="1555" w:type="dxa"/>
            <w:vAlign w:val="center"/>
          </w:tcPr>
          <w:p>
            <w:pPr>
              <w:spacing w:line="240" w:lineRule="atLeast"/>
              <w:rPr>
                <w:rFonts w:ascii="仿宋_GB2312" w:hAnsi="宋体" w:eastAsia="仿宋_GB2312"/>
                <w:sz w:val="18"/>
              </w:rPr>
            </w:pPr>
            <w:r>
              <w:rPr>
                <w:rFonts w:ascii="仿宋_GB2312" w:hAnsi="宋体" w:eastAsia="仿宋_GB2312"/>
                <w:szCs w:val="21"/>
              </w:rPr>
              <w:t>4-6</w:t>
            </w:r>
            <w:r>
              <w:rPr>
                <w:rFonts w:hint="eastAsia" w:ascii="仿宋_GB2312" w:hAnsi="宋体" w:eastAsia="仿宋_GB2312"/>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2" w:type="dxa"/>
            <w:gridSpan w:val="2"/>
            <w:vMerge w:val="continue"/>
            <w:vAlign w:val="center"/>
          </w:tcPr>
          <w:p>
            <w:pPr>
              <w:spacing w:line="240" w:lineRule="atLeast"/>
              <w:rPr>
                <w:rFonts w:ascii="仿宋_GB2312" w:hAnsi="宋体" w:eastAsia="仿宋_GB2312"/>
                <w:szCs w:val="21"/>
              </w:rPr>
            </w:pPr>
          </w:p>
        </w:tc>
        <w:tc>
          <w:tcPr>
            <w:tcW w:w="396" w:type="dxa"/>
            <w:vAlign w:val="center"/>
          </w:tcPr>
          <w:p>
            <w:pPr>
              <w:spacing w:line="240" w:lineRule="atLeast"/>
              <w:rPr>
                <w:rFonts w:ascii="仿宋_GB2312" w:hAnsi="宋体" w:eastAsia="仿宋_GB2312"/>
                <w:szCs w:val="21"/>
              </w:rPr>
            </w:pPr>
            <w:r>
              <w:rPr>
                <w:rFonts w:hint="eastAsia" w:ascii="仿宋_GB2312" w:hAnsi="宋体" w:eastAsia="仿宋_GB2312"/>
                <w:szCs w:val="21"/>
              </w:rPr>
              <w:t>6</w:t>
            </w:r>
          </w:p>
        </w:tc>
        <w:tc>
          <w:tcPr>
            <w:tcW w:w="2184"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岗位实习</w:t>
            </w:r>
          </w:p>
        </w:tc>
        <w:tc>
          <w:tcPr>
            <w:tcW w:w="65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180</w:t>
            </w:r>
          </w:p>
        </w:tc>
        <w:tc>
          <w:tcPr>
            <w:tcW w:w="709" w:type="dxa"/>
            <w:vAlign w:val="center"/>
          </w:tcPr>
          <w:p>
            <w:pPr>
              <w:spacing w:line="240" w:lineRule="exact"/>
              <w:jc w:val="center"/>
              <w:rPr>
                <w:rFonts w:ascii="仿宋_GB2312" w:hAnsi="宋体" w:eastAsia="仿宋_GB2312"/>
                <w:szCs w:val="21"/>
              </w:rPr>
            </w:pP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180</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5</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10</w:t>
            </w:r>
          </w:p>
        </w:tc>
        <w:tc>
          <w:tcPr>
            <w:tcW w:w="49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p>
        </w:tc>
        <w:tc>
          <w:tcPr>
            <w:tcW w:w="1555" w:type="dxa"/>
            <w:vAlign w:val="center"/>
          </w:tcPr>
          <w:p>
            <w:pPr>
              <w:spacing w:line="240" w:lineRule="atLeast"/>
              <w:rPr>
                <w:rFonts w:ascii="仿宋_GB2312" w:hAnsi="宋体" w:eastAsia="仿宋_GB2312"/>
                <w:szCs w:val="21"/>
              </w:rPr>
            </w:pPr>
            <w:r>
              <w:rPr>
                <w:rFonts w:ascii="仿宋_GB2312" w:hAnsi="宋体" w:eastAsia="仿宋_GB2312"/>
                <w:szCs w:val="21"/>
              </w:rPr>
              <w:t>18</w:t>
            </w:r>
            <w:r>
              <w:rPr>
                <w:rFonts w:hint="eastAsia" w:ascii="仿宋_GB2312" w:hAnsi="宋体" w:eastAsia="仿宋_GB2312"/>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62" w:type="dxa"/>
            <w:gridSpan w:val="2"/>
            <w:vMerge w:val="continue"/>
            <w:vAlign w:val="center"/>
          </w:tcPr>
          <w:p>
            <w:pPr>
              <w:spacing w:line="240" w:lineRule="atLeast"/>
              <w:rPr>
                <w:rFonts w:ascii="仿宋_GB2312" w:hAnsi="宋体" w:eastAsia="仿宋_GB2312"/>
                <w:szCs w:val="21"/>
              </w:rPr>
            </w:pPr>
          </w:p>
        </w:tc>
        <w:tc>
          <w:tcPr>
            <w:tcW w:w="396" w:type="dxa"/>
            <w:vAlign w:val="center"/>
          </w:tcPr>
          <w:p>
            <w:pPr>
              <w:spacing w:line="240" w:lineRule="atLeast"/>
              <w:rPr>
                <w:rFonts w:ascii="仿宋_GB2312" w:hAnsi="宋体" w:eastAsia="仿宋_GB2312"/>
                <w:szCs w:val="21"/>
              </w:rPr>
            </w:pPr>
            <w:r>
              <w:rPr>
                <w:rFonts w:hint="eastAsia" w:ascii="仿宋_GB2312" w:hAnsi="宋体" w:eastAsia="仿宋_GB2312"/>
                <w:szCs w:val="21"/>
              </w:rPr>
              <w:t>7</w:t>
            </w:r>
          </w:p>
        </w:tc>
        <w:tc>
          <w:tcPr>
            <w:tcW w:w="2184"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岗位实习</w:t>
            </w:r>
          </w:p>
        </w:tc>
        <w:tc>
          <w:tcPr>
            <w:tcW w:w="650"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300</w:t>
            </w:r>
          </w:p>
        </w:tc>
        <w:tc>
          <w:tcPr>
            <w:tcW w:w="709" w:type="dxa"/>
            <w:vAlign w:val="center"/>
          </w:tcPr>
          <w:p>
            <w:pPr>
              <w:spacing w:line="240" w:lineRule="exact"/>
              <w:jc w:val="center"/>
              <w:rPr>
                <w:rFonts w:ascii="仿宋_GB2312" w:hAnsi="宋体" w:eastAsia="仿宋_GB2312"/>
                <w:szCs w:val="21"/>
              </w:rPr>
            </w:pPr>
          </w:p>
        </w:tc>
        <w:tc>
          <w:tcPr>
            <w:tcW w:w="709"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300</w:t>
            </w:r>
          </w:p>
        </w:tc>
        <w:tc>
          <w:tcPr>
            <w:tcW w:w="708"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6</w:t>
            </w:r>
          </w:p>
        </w:tc>
        <w:tc>
          <w:tcPr>
            <w:tcW w:w="485"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16</w:t>
            </w:r>
          </w:p>
        </w:tc>
        <w:tc>
          <w:tcPr>
            <w:tcW w:w="49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p>
        </w:tc>
        <w:tc>
          <w:tcPr>
            <w:tcW w:w="1555" w:type="dxa"/>
            <w:vAlign w:val="center"/>
          </w:tcPr>
          <w:p>
            <w:pPr>
              <w:spacing w:line="240" w:lineRule="atLeast"/>
              <w:rPr>
                <w:rFonts w:ascii="仿宋_GB2312" w:hAnsi="宋体" w:eastAsia="仿宋_GB2312"/>
                <w:szCs w:val="21"/>
              </w:rPr>
            </w:pPr>
            <w:r>
              <w:rPr>
                <w:rFonts w:hint="eastAsia" w:ascii="仿宋_GB2312" w:hAnsi="宋体" w:eastAsia="仿宋_GB2312"/>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62" w:type="dxa"/>
            <w:gridSpan w:val="2"/>
            <w:vMerge w:val="continue"/>
            <w:vAlign w:val="center"/>
          </w:tcPr>
          <w:p>
            <w:pPr>
              <w:spacing w:line="240" w:lineRule="atLeast"/>
              <w:rPr>
                <w:rFonts w:ascii="仿宋_GB2312" w:hAnsi="宋体" w:eastAsia="仿宋_GB2312"/>
                <w:szCs w:val="21"/>
              </w:rPr>
            </w:pPr>
          </w:p>
        </w:tc>
        <w:tc>
          <w:tcPr>
            <w:tcW w:w="2580" w:type="dxa"/>
            <w:gridSpan w:val="3"/>
            <w:vAlign w:val="center"/>
          </w:tcPr>
          <w:p>
            <w:pPr>
              <w:spacing w:line="240" w:lineRule="exact"/>
              <w:rPr>
                <w:rFonts w:ascii="仿宋_GB2312" w:hAnsi="宋体" w:eastAsia="仿宋_GB2312"/>
                <w:szCs w:val="21"/>
              </w:rPr>
            </w:pPr>
            <w:r>
              <w:rPr>
                <w:rFonts w:hint="eastAsia" w:ascii="仿宋_GB2312" w:hAnsi="宋体" w:eastAsia="仿宋_GB2312"/>
                <w:sz w:val="18"/>
              </w:rPr>
              <w:t>小计：（学时控制在7</w:t>
            </w:r>
            <w:r>
              <w:rPr>
                <w:rFonts w:ascii="仿宋_GB2312" w:hAnsi="宋体" w:eastAsia="仿宋_GB2312"/>
                <w:sz w:val="18"/>
              </w:rPr>
              <w:t>34</w:t>
            </w:r>
            <w:r>
              <w:rPr>
                <w:rFonts w:hint="eastAsia" w:ascii="仿宋_GB2312" w:hAnsi="宋体" w:eastAsia="仿宋_GB2312"/>
                <w:sz w:val="18"/>
              </w:rPr>
              <w:t>—774之间，学分控制在40—43之间）</w:t>
            </w:r>
          </w:p>
        </w:tc>
        <w:tc>
          <w:tcPr>
            <w:tcW w:w="650"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752</w:t>
            </w:r>
          </w:p>
        </w:tc>
        <w:tc>
          <w:tcPr>
            <w:tcW w:w="709" w:type="dxa"/>
            <w:vAlign w:val="center"/>
          </w:tcPr>
          <w:p>
            <w:pPr>
              <w:spacing w:line="240" w:lineRule="atLeast"/>
              <w:jc w:val="center"/>
              <w:rPr>
                <w:rFonts w:ascii="仿宋_GB2312" w:hAnsi="宋体" w:eastAsia="仿宋_GB2312"/>
                <w:szCs w:val="21"/>
              </w:rPr>
            </w:pPr>
          </w:p>
        </w:tc>
        <w:tc>
          <w:tcPr>
            <w:tcW w:w="709"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752</w:t>
            </w:r>
          </w:p>
        </w:tc>
        <w:tc>
          <w:tcPr>
            <w:tcW w:w="708"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w:t>
            </w:r>
          </w:p>
        </w:tc>
        <w:tc>
          <w:tcPr>
            <w:tcW w:w="485" w:type="dxa"/>
            <w:vAlign w:val="center"/>
          </w:tcPr>
          <w:p>
            <w:pPr>
              <w:spacing w:line="240" w:lineRule="atLeast"/>
              <w:jc w:val="center"/>
              <w:rPr>
                <w:rFonts w:ascii="仿宋_GB2312" w:hAnsi="宋体" w:eastAsia="仿宋_GB2312"/>
                <w:szCs w:val="21"/>
              </w:rPr>
            </w:pPr>
            <w:r>
              <w:rPr>
                <w:rFonts w:hint="eastAsia" w:ascii="仿宋_GB2312" w:hAnsi="宋体" w:eastAsia="仿宋_GB2312"/>
                <w:szCs w:val="21"/>
              </w:rPr>
              <w:t>40</w:t>
            </w:r>
          </w:p>
        </w:tc>
        <w:tc>
          <w:tcPr>
            <w:tcW w:w="497" w:type="dxa"/>
            <w:vAlign w:val="center"/>
          </w:tcPr>
          <w:p>
            <w:pPr>
              <w:spacing w:line="240" w:lineRule="atLeast"/>
              <w:jc w:val="center"/>
              <w:rPr>
                <w:rFonts w:ascii="仿宋_GB2312" w:hAnsi="宋体" w:eastAsia="仿宋_GB2312"/>
                <w:szCs w:val="21"/>
              </w:rPr>
            </w:pP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441" w:type="dxa"/>
            <w:vAlign w:val="center"/>
          </w:tcPr>
          <w:p>
            <w:pPr>
              <w:spacing w:line="240" w:lineRule="atLeast"/>
              <w:rPr>
                <w:rFonts w:ascii="仿宋_GB2312" w:hAnsi="宋体" w:eastAsia="仿宋_GB2312"/>
                <w:szCs w:val="21"/>
              </w:rPr>
            </w:pPr>
            <w:r>
              <w:rPr>
                <w:rFonts w:hint="eastAsia" w:ascii="仿宋_GB2312" w:hAnsi="宋体" w:eastAsia="仿宋_GB2312"/>
                <w:szCs w:val="21"/>
              </w:rPr>
              <w:t>——</w:t>
            </w:r>
          </w:p>
        </w:tc>
        <w:tc>
          <w:tcPr>
            <w:tcW w:w="1556" w:type="dxa"/>
            <w:vAlign w:val="center"/>
          </w:tcPr>
          <w:p>
            <w:pPr>
              <w:spacing w:line="240" w:lineRule="atLeast"/>
              <w:rPr>
                <w:rFonts w:ascii="仿宋_GB2312" w:hAnsi="宋体" w:eastAsia="仿宋_GB2312"/>
                <w:szCs w:val="21"/>
              </w:rPr>
            </w:pPr>
            <w:r>
              <w:rPr>
                <w:rFonts w:hint="eastAsia" w:ascii="仿宋_GB2312" w:hAnsi="宋体" w:eastAsia="仿宋_GB2312"/>
                <w:szCs w:val="21"/>
              </w:rPr>
              <w:t>集中实践课时</w:t>
            </w:r>
          </w:p>
        </w:tc>
      </w:tr>
    </w:tbl>
    <w:p>
      <w:pPr>
        <w:pStyle w:val="5"/>
        <w:widowControl w:val="0"/>
        <w:spacing w:before="0" w:beforeAutospacing="0" w:after="0" w:afterAutospacing="0" w:line="324" w:lineRule="auto"/>
        <w:ind w:left="420" w:leftChars="200"/>
        <w:jc w:val="both"/>
        <w:rPr>
          <w:rFonts w:asciiTheme="minorEastAsia" w:hAnsiTheme="minorEastAsia" w:eastAsiaTheme="minorEastAsia" w:cstheme="minorEastAsia"/>
          <w:b/>
          <w:color w:val="000000" w:themeColor="text1"/>
          <w14:textFill>
            <w14:solidFill>
              <w14:schemeClr w14:val="tx1"/>
            </w14:solidFill>
          </w14:textFill>
        </w:rPr>
      </w:pPr>
    </w:p>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（三）周课时统计表</w:t>
      </w:r>
    </w:p>
    <w:tbl>
      <w:tblPr>
        <w:tblStyle w:val="11"/>
        <w:tblW w:w="873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82"/>
        <w:gridCol w:w="2182"/>
        <w:gridCol w:w="2184"/>
        <w:gridCol w:w="21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学期</w:t>
            </w:r>
          </w:p>
        </w:tc>
        <w:tc>
          <w:tcPr>
            <w:tcW w:w="2182"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总课时数</w:t>
            </w:r>
          </w:p>
        </w:tc>
        <w:tc>
          <w:tcPr>
            <w:tcW w:w="2184"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平均周课时数</w:t>
            </w:r>
          </w:p>
        </w:tc>
        <w:tc>
          <w:tcPr>
            <w:tcW w:w="2183" w:type="dxa"/>
            <w:tcBorders>
              <w:tl2br w:val="nil"/>
              <w:tr2bl w:val="nil"/>
            </w:tcBorders>
            <w:shd w:val="clear" w:color="auto" w:fill="auto"/>
            <w:tcMar>
              <w:top w:w="6" w:type="dxa"/>
              <w:left w:w="45" w:type="dxa"/>
              <w:bottom w:w="6" w:type="dxa"/>
              <w:right w:w="45" w:type="dxa"/>
            </w:tcMar>
            <w:vAlign w:val="center"/>
          </w:tcPr>
          <w:p>
            <w:pPr>
              <w:spacing w:line="0" w:lineRule="atLeast"/>
              <w:jc w:val="center"/>
              <w:rPr>
                <w:rFonts w:ascii="方正黑体简体" w:hAnsi="方正黑体简体" w:eastAsia="方正黑体简体" w:cs="方正黑体简体"/>
                <w:color w:val="000000" w:themeColor="text1"/>
                <w:szCs w:val="21"/>
                <w14:textFill>
                  <w14:solidFill>
                    <w14:schemeClr w14:val="tx1"/>
                  </w14:solidFill>
                </w14:textFill>
              </w:rPr>
            </w:pPr>
            <w:r>
              <w:rPr>
                <w:rFonts w:hint="eastAsia" w:ascii="方正黑体简体" w:hAnsi="方正黑体简体" w:eastAsia="方正黑体简体" w:cs="方正黑体简体"/>
                <w:color w:val="000000" w:themeColor="text1"/>
                <w:szCs w:val="21"/>
                <w14:textFill>
                  <w14:solidFill>
                    <w14:schemeClr w14:val="tx1"/>
                  </w14:solidFill>
                </w14:textFill>
              </w:rPr>
              <w:t>学分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w:t>
            </w:r>
          </w:p>
        </w:tc>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r>
              <w:rPr>
                <w:rFonts w:ascii="仿宋_GB2312" w:hAnsi="宋体" w:eastAsia="仿宋_GB2312"/>
                <w:color w:val="000000"/>
                <w:sz w:val="24"/>
              </w:rPr>
              <w:t>19</w:t>
            </w:r>
          </w:p>
        </w:tc>
        <w:tc>
          <w:tcPr>
            <w:tcW w:w="2184"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3</w:t>
            </w:r>
          </w:p>
        </w:tc>
        <w:tc>
          <w:tcPr>
            <w:tcW w:w="2183"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二</w:t>
            </w:r>
          </w:p>
        </w:tc>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r>
              <w:rPr>
                <w:rFonts w:ascii="仿宋_GB2312" w:hAnsi="宋体" w:eastAsia="仿宋_GB2312"/>
                <w:color w:val="000000"/>
                <w:sz w:val="24"/>
              </w:rPr>
              <w:t>87</w:t>
            </w:r>
          </w:p>
        </w:tc>
        <w:tc>
          <w:tcPr>
            <w:tcW w:w="2184"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7</w:t>
            </w:r>
          </w:p>
        </w:tc>
        <w:tc>
          <w:tcPr>
            <w:tcW w:w="2183"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三</w:t>
            </w:r>
          </w:p>
        </w:tc>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r>
              <w:rPr>
                <w:rFonts w:ascii="仿宋_GB2312" w:hAnsi="宋体" w:eastAsia="仿宋_GB2312"/>
                <w:color w:val="000000"/>
                <w:sz w:val="24"/>
              </w:rPr>
              <w:t>34</w:t>
            </w:r>
          </w:p>
        </w:tc>
        <w:tc>
          <w:tcPr>
            <w:tcW w:w="2184"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4</w:t>
            </w:r>
          </w:p>
        </w:tc>
        <w:tc>
          <w:tcPr>
            <w:tcW w:w="2183"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四</w:t>
            </w:r>
          </w:p>
        </w:tc>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4</w:t>
            </w:r>
            <w:r>
              <w:rPr>
                <w:rFonts w:ascii="仿宋_GB2312" w:hAnsi="宋体" w:eastAsia="仿宋_GB2312"/>
                <w:color w:val="000000"/>
                <w:sz w:val="24"/>
              </w:rPr>
              <w:t>94</w:t>
            </w:r>
          </w:p>
        </w:tc>
        <w:tc>
          <w:tcPr>
            <w:tcW w:w="2184"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7</w:t>
            </w:r>
          </w:p>
        </w:tc>
        <w:tc>
          <w:tcPr>
            <w:tcW w:w="2183"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五</w:t>
            </w:r>
          </w:p>
        </w:tc>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t>300</w:t>
            </w:r>
          </w:p>
        </w:tc>
        <w:tc>
          <w:tcPr>
            <w:tcW w:w="2184"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t>17</w:t>
            </w:r>
          </w:p>
        </w:tc>
        <w:tc>
          <w:tcPr>
            <w:tcW w:w="2183"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r>
              <w:rPr>
                <w:rFonts w:ascii="仿宋_GB2312" w:hAnsi="宋体" w:eastAsia="仿宋_GB2312"/>
                <w:color w:val="000000"/>
                <w:sz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六</w:t>
            </w:r>
          </w:p>
        </w:tc>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r>
              <w:rPr>
                <w:rFonts w:ascii="仿宋_GB2312" w:hAnsi="宋体" w:eastAsia="仿宋_GB2312"/>
                <w:color w:val="000000"/>
                <w:sz w:val="24"/>
              </w:rPr>
              <w:t>00</w:t>
            </w:r>
          </w:p>
        </w:tc>
        <w:tc>
          <w:tcPr>
            <w:tcW w:w="2184"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t>17</w:t>
            </w:r>
          </w:p>
        </w:tc>
        <w:tc>
          <w:tcPr>
            <w:tcW w:w="2183"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合计</w:t>
            </w:r>
          </w:p>
        </w:tc>
        <w:tc>
          <w:tcPr>
            <w:tcW w:w="2182"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fldChar w:fldCharType="begin"/>
            </w:r>
            <w:r>
              <w:rPr>
                <w:rFonts w:ascii="仿宋_GB2312" w:hAnsi="宋体" w:eastAsia="仿宋_GB2312"/>
                <w:color w:val="000000"/>
                <w:sz w:val="24"/>
              </w:rPr>
              <w:instrText xml:space="preserve"> =SUM(ABOVE) </w:instrText>
            </w:r>
            <w:r>
              <w:rPr>
                <w:rFonts w:ascii="仿宋_GB2312" w:hAnsi="宋体" w:eastAsia="仿宋_GB2312"/>
                <w:color w:val="000000"/>
                <w:sz w:val="24"/>
              </w:rPr>
              <w:fldChar w:fldCharType="separate"/>
            </w:r>
            <w:r>
              <w:rPr>
                <w:rFonts w:ascii="仿宋_GB2312" w:hAnsi="宋体" w:eastAsia="仿宋_GB2312"/>
                <w:color w:val="000000"/>
                <w:sz w:val="24"/>
              </w:rPr>
              <w:t>2434</w:t>
            </w:r>
            <w:r>
              <w:rPr>
                <w:rFonts w:ascii="仿宋_GB2312" w:hAnsi="宋体" w:eastAsia="仿宋_GB2312"/>
                <w:color w:val="000000"/>
                <w:sz w:val="24"/>
              </w:rPr>
              <w:fldChar w:fldCharType="end"/>
            </w:r>
          </w:p>
        </w:tc>
        <w:tc>
          <w:tcPr>
            <w:tcW w:w="2184"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t>135</w:t>
            </w:r>
          </w:p>
        </w:tc>
        <w:tc>
          <w:tcPr>
            <w:tcW w:w="2183" w:type="dxa"/>
            <w:tcBorders>
              <w:tl2br w:val="nil"/>
              <w:tr2bl w:val="nil"/>
            </w:tcBorders>
            <w:shd w:val="clear" w:color="auto" w:fill="auto"/>
            <w:tcMar>
              <w:top w:w="6" w:type="dxa"/>
              <w:left w:w="45" w:type="dxa"/>
              <w:bottom w:w="6" w:type="dxa"/>
              <w:right w:w="45" w:type="dxa"/>
            </w:tcMar>
            <w:vAlign w:val="center"/>
          </w:tcPr>
          <w:p>
            <w:pPr>
              <w:adjustRightInd w:val="0"/>
              <w:spacing w:line="360" w:lineRule="auto"/>
              <w:jc w:val="center"/>
              <w:rPr>
                <w:rFonts w:ascii="仿宋_GB2312" w:hAnsi="宋体" w:eastAsia="仿宋_GB2312"/>
                <w:color w:val="000000"/>
                <w:sz w:val="24"/>
              </w:rPr>
            </w:pPr>
            <w:r>
              <w:rPr>
                <w:rFonts w:ascii="仿宋_GB2312" w:hAnsi="宋体" w:eastAsia="仿宋_GB2312"/>
                <w:color w:val="000000"/>
                <w:sz w:val="24"/>
              </w:rPr>
              <w:t>135</w:t>
            </w:r>
          </w:p>
        </w:tc>
      </w:tr>
    </w:tbl>
    <w:p>
      <w:pPr>
        <w:spacing w:line="324" w:lineRule="auto"/>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（四）各类课程学时分配表</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418"/>
        <w:gridCol w:w="1417"/>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课程类别</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学时数</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百分比（%）</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实践学时</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公共基础课程</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692</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6</w:t>
            </w:r>
            <w:r>
              <w:rPr>
                <w:rFonts w:hint="eastAsia" w:ascii="仿宋_GB2312" w:hAnsi="宋体" w:eastAsia="仿宋_GB2312"/>
                <w:color w:val="000000"/>
                <w:sz w:val="24"/>
              </w:rPr>
              <w:t>.</w:t>
            </w:r>
            <w:r>
              <w:rPr>
                <w:rFonts w:ascii="仿宋_GB2312" w:hAnsi="宋体" w:eastAsia="仿宋_GB2312"/>
                <w:color w:val="000000"/>
                <w:sz w:val="24"/>
              </w:rPr>
              <w:t>4</w:t>
            </w:r>
            <w:r>
              <w:rPr>
                <w:rFonts w:hint="eastAsia" w:ascii="仿宋_GB2312" w:hAnsi="宋体" w:eastAsia="仿宋_GB2312"/>
                <w:color w:val="000000"/>
                <w:sz w:val="24"/>
              </w:rPr>
              <w:t>7</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258</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专业技术课程（包括专业基础、专业核心、专业拓展课程）</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99</w:t>
            </w:r>
            <w:r>
              <w:rPr>
                <w:rFonts w:ascii="仿宋_GB2312" w:hAnsi="宋体" w:eastAsia="仿宋_GB2312"/>
                <w:color w:val="000000"/>
                <w:sz w:val="24"/>
              </w:rPr>
              <w:t>0</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3</w:t>
            </w:r>
            <w:r>
              <w:rPr>
                <w:rFonts w:ascii="仿宋_GB2312" w:hAnsi="宋体" w:eastAsia="仿宋_GB2312"/>
                <w:color w:val="000000"/>
                <w:sz w:val="24"/>
              </w:rPr>
              <w:t>7</w:t>
            </w:r>
            <w:r>
              <w:rPr>
                <w:rFonts w:hint="eastAsia" w:ascii="仿宋_GB2312" w:hAnsi="宋体" w:eastAsia="仿宋_GB2312"/>
                <w:color w:val="000000"/>
                <w:sz w:val="24"/>
              </w:rPr>
              <w:t>.</w:t>
            </w:r>
            <w:r>
              <w:rPr>
                <w:rFonts w:ascii="仿宋_GB2312" w:hAnsi="宋体" w:eastAsia="仿宋_GB2312"/>
                <w:color w:val="000000"/>
                <w:sz w:val="24"/>
              </w:rPr>
              <w:t>87</w:t>
            </w:r>
          </w:p>
        </w:tc>
        <w:tc>
          <w:tcPr>
            <w:tcW w:w="1418" w:type="dxa"/>
            <w:vAlign w:val="center"/>
          </w:tcPr>
          <w:p>
            <w:pPr>
              <w:spacing w:line="360" w:lineRule="auto"/>
              <w:jc w:val="center"/>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28</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集中实践课程</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752</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2</w:t>
            </w:r>
            <w:r>
              <w:rPr>
                <w:rFonts w:ascii="仿宋_GB2312" w:hAnsi="宋体" w:eastAsia="仿宋_GB2312"/>
                <w:color w:val="000000"/>
                <w:sz w:val="24"/>
              </w:rPr>
              <w:t>8</w:t>
            </w:r>
            <w:r>
              <w:rPr>
                <w:rFonts w:hint="eastAsia" w:ascii="仿宋_GB2312" w:hAnsi="宋体" w:eastAsia="仿宋_GB2312"/>
                <w:color w:val="000000"/>
                <w:sz w:val="24"/>
              </w:rPr>
              <w:t>.</w:t>
            </w:r>
            <w:r>
              <w:rPr>
                <w:rFonts w:ascii="仿宋_GB2312" w:hAnsi="宋体" w:eastAsia="仿宋_GB2312"/>
                <w:color w:val="000000"/>
                <w:sz w:val="24"/>
              </w:rPr>
              <w:t>76</w:t>
            </w:r>
          </w:p>
        </w:tc>
        <w:tc>
          <w:tcPr>
            <w:tcW w:w="1418" w:type="dxa"/>
            <w:vAlign w:val="center"/>
          </w:tcPr>
          <w:p>
            <w:pPr>
              <w:spacing w:line="360" w:lineRule="auto"/>
              <w:jc w:val="center"/>
              <w:rPr>
                <w:rFonts w:ascii="仿宋_GB2312" w:hAnsi="宋体" w:eastAsia="仿宋_GB2312"/>
                <w:color w:val="000000"/>
                <w:sz w:val="24"/>
              </w:rPr>
            </w:pPr>
            <w:r>
              <w:rPr>
                <w:rFonts w:ascii="仿宋_GB2312" w:hAnsi="宋体" w:eastAsia="仿宋_GB2312"/>
                <w:color w:val="000000"/>
                <w:sz w:val="24"/>
              </w:rPr>
              <w:t>7</w:t>
            </w:r>
            <w:r>
              <w:rPr>
                <w:rFonts w:hint="eastAsia" w:ascii="仿宋_GB2312" w:hAnsi="宋体" w:eastAsia="仿宋_GB2312"/>
                <w:color w:val="000000"/>
                <w:sz w:val="24"/>
              </w:rPr>
              <w:t>52</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第二课堂课程</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w:t>
            </w:r>
            <w:r>
              <w:rPr>
                <w:rFonts w:ascii="仿宋_GB2312" w:hAnsi="宋体" w:eastAsia="仿宋_GB2312"/>
                <w:color w:val="000000"/>
                <w:sz w:val="24"/>
              </w:rPr>
              <w:t>80</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6.</w:t>
            </w:r>
            <w:r>
              <w:rPr>
                <w:rFonts w:ascii="仿宋_GB2312" w:hAnsi="宋体" w:eastAsia="仿宋_GB2312"/>
                <w:color w:val="000000"/>
                <w:sz w:val="24"/>
              </w:rPr>
              <w:t>88</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180</w:t>
            </w: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5"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1418"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fldChar w:fldCharType="begin"/>
            </w:r>
            <w:r>
              <w:rPr>
                <w:rFonts w:hint="eastAsia" w:ascii="仿宋_GB2312" w:hAnsi="宋体" w:eastAsia="仿宋_GB2312"/>
                <w:color w:val="000000"/>
                <w:sz w:val="24"/>
              </w:rPr>
              <w:instrText xml:space="preserve"> = sum(B2:B5) \* MERGEFORMAT </w:instrText>
            </w:r>
            <w:r>
              <w:rPr>
                <w:rFonts w:hint="eastAsia" w:ascii="仿宋_GB2312" w:hAnsi="宋体" w:eastAsia="仿宋_GB2312"/>
                <w:color w:val="000000"/>
                <w:sz w:val="24"/>
              </w:rPr>
              <w:fldChar w:fldCharType="separate"/>
            </w:r>
            <w:r>
              <w:rPr>
                <w:rFonts w:hint="eastAsia" w:ascii="仿宋_GB2312" w:hAnsi="宋体" w:eastAsia="仿宋_GB2312"/>
                <w:color w:val="000000"/>
                <w:sz w:val="24"/>
              </w:rPr>
              <w:t>2614</w:t>
            </w:r>
            <w:r>
              <w:rPr>
                <w:rFonts w:hint="eastAsia" w:ascii="仿宋_GB2312" w:hAnsi="宋体" w:eastAsia="仿宋_GB2312"/>
                <w:color w:val="000000"/>
                <w:sz w:val="24"/>
              </w:rPr>
              <w:fldChar w:fldCharType="end"/>
            </w:r>
          </w:p>
        </w:tc>
        <w:tc>
          <w:tcPr>
            <w:tcW w:w="1417" w:type="dxa"/>
            <w:vAlign w:val="center"/>
          </w:tcPr>
          <w:p>
            <w:pPr>
              <w:spacing w:line="360" w:lineRule="auto"/>
              <w:jc w:val="center"/>
              <w:rPr>
                <w:rFonts w:ascii="仿宋_GB2312" w:hAnsi="宋体" w:eastAsia="仿宋_GB2312"/>
                <w:color w:val="000000"/>
                <w:sz w:val="24"/>
              </w:rPr>
            </w:pPr>
          </w:p>
        </w:tc>
        <w:tc>
          <w:tcPr>
            <w:tcW w:w="1418" w:type="dxa"/>
            <w:vAlign w:val="center"/>
          </w:tcPr>
          <w:p>
            <w:pPr>
              <w:spacing w:line="360" w:lineRule="auto"/>
              <w:jc w:val="center"/>
              <w:rPr>
                <w:rFonts w:ascii="仿宋_GB2312" w:hAnsi="宋体" w:eastAsia="仿宋_GB2312"/>
                <w:color w:val="000000"/>
                <w:sz w:val="24"/>
              </w:rPr>
            </w:pPr>
          </w:p>
        </w:tc>
        <w:tc>
          <w:tcPr>
            <w:tcW w:w="1417" w:type="dxa"/>
            <w:vAlign w:val="center"/>
          </w:tcPr>
          <w:p>
            <w:pPr>
              <w:spacing w:line="360" w:lineRule="auto"/>
              <w:jc w:val="center"/>
              <w:rPr>
                <w:rFonts w:ascii="仿宋_GB2312" w:hAnsi="宋体" w:eastAsia="仿宋_GB2312"/>
                <w:color w:val="000000"/>
                <w:sz w:val="24"/>
              </w:rPr>
            </w:pPr>
            <w:r>
              <w:rPr>
                <w:rFonts w:hint="eastAsia" w:ascii="仿宋_GB2312" w:hAnsi="宋体" w:eastAsia="仿宋_GB2312"/>
                <w:color w:val="000000"/>
                <w:sz w:val="24"/>
              </w:rPr>
              <w:fldChar w:fldCharType="begin"/>
            </w:r>
            <w:r>
              <w:rPr>
                <w:rFonts w:hint="eastAsia" w:ascii="仿宋_GB2312" w:hAnsi="宋体" w:eastAsia="仿宋_GB2312"/>
                <w:color w:val="000000"/>
                <w:sz w:val="24"/>
              </w:rPr>
              <w:instrText xml:space="preserve"> = sum(E2:E5) \* MERGEFORMAT </w:instrText>
            </w:r>
            <w:r>
              <w:rPr>
                <w:rFonts w:hint="eastAsia" w:ascii="仿宋_GB2312" w:hAnsi="宋体" w:eastAsia="仿宋_GB2312"/>
                <w:color w:val="000000"/>
                <w:sz w:val="24"/>
              </w:rPr>
              <w:fldChar w:fldCharType="separate"/>
            </w:r>
            <w:r>
              <w:rPr>
                <w:rFonts w:hint="eastAsia" w:ascii="仿宋_GB2312" w:hAnsi="宋体" w:eastAsia="仿宋_GB2312"/>
                <w:color w:val="000000"/>
                <w:sz w:val="24"/>
              </w:rPr>
              <w:t>145</w:t>
            </w:r>
            <w:r>
              <w:rPr>
                <w:rFonts w:hint="eastAsia" w:ascii="仿宋_GB2312" w:hAnsi="宋体" w:eastAsia="仿宋_GB2312"/>
                <w:color w:val="000000"/>
                <w:sz w:val="24"/>
              </w:rPr>
              <w:fldChar w:fldCharType="end"/>
            </w:r>
          </w:p>
        </w:tc>
      </w:tr>
    </w:tbl>
    <w:p>
      <w:pPr>
        <w:numPr>
          <w:ilvl w:val="0"/>
          <w:numId w:val="4"/>
        </w:numPr>
        <w:spacing w:before="156" w:beforeLines="50" w:after="156" w:afterLines="50"/>
        <w:ind w:firstLine="480" w:firstLineChars="200"/>
        <w:rPr>
          <w:rFonts w:ascii="方正黑体简体" w:hAnsi="方正黑体简体" w:eastAsia="方正黑体简体" w:cs="方正黑体简体"/>
          <w:color w:val="000000" w:themeColor="text1"/>
          <w:sz w:val="24"/>
          <w14:textFill>
            <w14:solidFill>
              <w14:schemeClr w14:val="tx1"/>
            </w14:solidFill>
          </w14:textFill>
        </w:rPr>
      </w:pPr>
      <w:r>
        <w:rPr>
          <w:rFonts w:hint="eastAsia" w:ascii="方正黑体简体" w:hAnsi="方正黑体简体" w:eastAsia="方正黑体简体" w:cs="方正黑体简体"/>
          <w:color w:val="000000" w:themeColor="text1"/>
          <w:sz w:val="24"/>
          <w14:textFill>
            <w14:solidFill>
              <w14:schemeClr w14:val="tx1"/>
            </w14:solidFill>
          </w14:textFill>
        </w:rPr>
        <w:t>市场营销专业之课程标准（单独装订成册）</w:t>
      </w:r>
    </w:p>
    <w:sectPr>
      <w:headerReference r:id="rId3" w:type="default"/>
      <w:headerReference r:id="rId4" w:type="even"/>
      <w:footerReference r:id="rId5" w:type="even"/>
      <w:pgSz w:w="11907" w:h="16840"/>
      <w:pgMar w:top="1587" w:right="1587"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675ED1-F1EF-48C3-BB49-CFD35AC589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embedRegular r:id="rId2" w:fontKey="{07EE6F4F-7019-4031-B319-7300A19D352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embedRegular r:id="rId3" w:fontKey="{73F578D6-D5B1-4E2C-BA92-8AFB8207ABC2}"/>
  </w:font>
  <w:font w:name="方正大标宋简体">
    <w:altName w:val="微软雅黑"/>
    <w:panose1 w:val="00000000000000000000"/>
    <w:charset w:val="86"/>
    <w:family w:val="auto"/>
    <w:pitch w:val="default"/>
    <w:sig w:usb0="00000000" w:usb1="00000000" w:usb2="00000000" w:usb3="00000000" w:csb0="00040000" w:csb1="00000000"/>
    <w:embedRegular r:id="rId4" w:fontKey="{0DD12EF4-E59B-4284-933B-20C057A8107C}"/>
  </w:font>
  <w:font w:name="微软雅黑">
    <w:panose1 w:val="020B0503020204020204"/>
    <w:charset w:val="86"/>
    <w:family w:val="auto"/>
    <w:pitch w:val="default"/>
    <w:sig w:usb0="80000287" w:usb1="280F3C52" w:usb2="00000016" w:usb3="00000000" w:csb0="0004001F" w:csb1="00000000"/>
    <w:embedRegular r:id="rId5" w:fontKey="{23B86874-3F45-4155-84F1-254FFE515FAD}"/>
  </w:font>
  <w:font w:name="方正黑体简体">
    <w:altName w:val="微软雅黑"/>
    <w:panose1 w:val="00000000000000000000"/>
    <w:charset w:val="86"/>
    <w:family w:val="auto"/>
    <w:pitch w:val="default"/>
    <w:sig w:usb0="00000000" w:usb1="00000000" w:usb2="00000000" w:usb3="00000000" w:csb0="00040000" w:csb1="00000000"/>
    <w:embedRegular r:id="rId6" w:fontKey="{84AED72C-D2BE-4F0E-8AFF-60FD2B34E53F}"/>
  </w:font>
  <w:font w:name="楷体_GB2312">
    <w:altName w:val="楷体"/>
    <w:panose1 w:val="00000000000000000000"/>
    <w:charset w:val="86"/>
    <w:family w:val="modern"/>
    <w:pitch w:val="default"/>
    <w:sig w:usb0="00000000" w:usb1="00000000" w:usb2="00000010" w:usb3="00000000" w:csb0="00040000" w:csb1="00000000"/>
    <w:embedRegular r:id="rId7" w:fontKey="{FE7AE4F3-1BF1-4EF3-8FDD-0E3BEA880C0F}"/>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8" w:fontKey="{105E2C1E-84B0-4A6D-9CDE-D348ABE9BC4E}"/>
  </w:font>
  <w:font w:name="___WRD_EMBED_SUB_51">
    <w:altName w:val="宋体"/>
    <w:panose1 w:val="00000000000000000000"/>
    <w:charset w:val="86"/>
    <w:family w:val="auto"/>
    <w:pitch w:val="default"/>
    <w:sig w:usb0="00000000" w:usb1="00000000" w:usb2="00000006" w:usb3="00000000" w:csb0="00040001" w:csb1="00000000"/>
    <w:embedRegular r:id="rId9" w:fontKey="{83CF6F84-B905-4FE3-BC45-BF2300D4F911}"/>
  </w:font>
  <w:font w:name="Batang">
    <w:panose1 w:val="02030600000101010101"/>
    <w:charset w:val="81"/>
    <w:family w:val="roman"/>
    <w:pitch w:val="default"/>
    <w:sig w:usb0="B00002AF" w:usb1="69D77CFB" w:usb2="00000030" w:usb3="00000000" w:csb0="4008009F" w:csb1="DFD70000"/>
    <w:embedRegular r:id="rId10" w:fontKey="{EE87FA5F-A72F-47AC-B14E-9356EB4E93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2E3FB"/>
    <w:multiLevelType w:val="singleLevel"/>
    <w:tmpl w:val="B182E3FB"/>
    <w:lvl w:ilvl="0" w:tentative="0">
      <w:start w:val="8"/>
      <w:numFmt w:val="chineseCounting"/>
      <w:suff w:val="nothing"/>
      <w:lvlText w:val="%1、"/>
      <w:lvlJc w:val="left"/>
      <w:rPr>
        <w:rFonts w:hint="eastAsia"/>
      </w:rPr>
    </w:lvl>
  </w:abstractNum>
  <w:abstractNum w:abstractNumId="1">
    <w:nsid w:val="22316FCD"/>
    <w:multiLevelType w:val="multilevel"/>
    <w:tmpl w:val="22316FCD"/>
    <w:lvl w:ilvl="0" w:tentative="0">
      <w:start w:val="1"/>
      <w:numFmt w:val="japaneseCounting"/>
      <w:lvlText w:val="（%1）"/>
      <w:lvlJc w:val="left"/>
      <w:pPr>
        <w:ind w:left="1661" w:hanging="1080"/>
      </w:pPr>
      <w:rPr>
        <w:rFonts w:hint="default"/>
      </w:rPr>
    </w:lvl>
    <w:lvl w:ilvl="1" w:tentative="0">
      <w:start w:val="1"/>
      <w:numFmt w:val="lowerLetter"/>
      <w:lvlText w:val="%2)"/>
      <w:lvlJc w:val="left"/>
      <w:pPr>
        <w:ind w:left="1421" w:hanging="420"/>
      </w:pPr>
    </w:lvl>
    <w:lvl w:ilvl="2" w:tentative="0">
      <w:start w:val="1"/>
      <w:numFmt w:val="lowerRoman"/>
      <w:lvlText w:val="%3."/>
      <w:lvlJc w:val="right"/>
      <w:pPr>
        <w:ind w:left="1841" w:hanging="420"/>
      </w:pPr>
    </w:lvl>
    <w:lvl w:ilvl="3" w:tentative="0">
      <w:start w:val="1"/>
      <w:numFmt w:val="decimal"/>
      <w:lvlText w:val="%4."/>
      <w:lvlJc w:val="left"/>
      <w:pPr>
        <w:ind w:left="2261" w:hanging="420"/>
      </w:pPr>
    </w:lvl>
    <w:lvl w:ilvl="4" w:tentative="0">
      <w:start w:val="1"/>
      <w:numFmt w:val="lowerLetter"/>
      <w:lvlText w:val="%5)"/>
      <w:lvlJc w:val="left"/>
      <w:pPr>
        <w:ind w:left="2681" w:hanging="420"/>
      </w:pPr>
    </w:lvl>
    <w:lvl w:ilvl="5" w:tentative="0">
      <w:start w:val="1"/>
      <w:numFmt w:val="lowerRoman"/>
      <w:lvlText w:val="%6."/>
      <w:lvlJc w:val="right"/>
      <w:pPr>
        <w:ind w:left="3101" w:hanging="420"/>
      </w:pPr>
    </w:lvl>
    <w:lvl w:ilvl="6" w:tentative="0">
      <w:start w:val="1"/>
      <w:numFmt w:val="decimal"/>
      <w:lvlText w:val="%7."/>
      <w:lvlJc w:val="left"/>
      <w:pPr>
        <w:ind w:left="3521" w:hanging="420"/>
      </w:pPr>
    </w:lvl>
    <w:lvl w:ilvl="7" w:tentative="0">
      <w:start w:val="1"/>
      <w:numFmt w:val="lowerLetter"/>
      <w:lvlText w:val="%8)"/>
      <w:lvlJc w:val="left"/>
      <w:pPr>
        <w:ind w:left="3941" w:hanging="420"/>
      </w:pPr>
    </w:lvl>
    <w:lvl w:ilvl="8" w:tentative="0">
      <w:start w:val="1"/>
      <w:numFmt w:val="lowerRoman"/>
      <w:lvlText w:val="%9."/>
      <w:lvlJc w:val="right"/>
      <w:pPr>
        <w:ind w:left="4361" w:hanging="420"/>
      </w:pPr>
    </w:lvl>
  </w:abstractNum>
  <w:abstractNum w:abstractNumId="2">
    <w:nsid w:val="2D2BEA86"/>
    <w:multiLevelType w:val="singleLevel"/>
    <w:tmpl w:val="2D2BEA86"/>
    <w:lvl w:ilvl="0" w:tentative="0">
      <w:start w:val="12"/>
      <w:numFmt w:val="chineseCounting"/>
      <w:suff w:val="nothing"/>
      <w:lvlText w:val="%1、"/>
      <w:lvlJc w:val="left"/>
      <w:rPr>
        <w:rFonts w:hint="eastAsia"/>
      </w:rPr>
    </w:lvl>
  </w:abstractNum>
  <w:abstractNum w:abstractNumId="3">
    <w:nsid w:val="7E8343CC"/>
    <w:multiLevelType w:val="multilevel"/>
    <w:tmpl w:val="7E8343CC"/>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253509F5"/>
    <w:rsid w:val="00004CFC"/>
    <w:rsid w:val="000107D9"/>
    <w:rsid w:val="00033B3D"/>
    <w:rsid w:val="000676EB"/>
    <w:rsid w:val="000B688A"/>
    <w:rsid w:val="000E5F15"/>
    <w:rsid w:val="00107662"/>
    <w:rsid w:val="001348B4"/>
    <w:rsid w:val="001778C0"/>
    <w:rsid w:val="001D793E"/>
    <w:rsid w:val="00272C50"/>
    <w:rsid w:val="002D4A63"/>
    <w:rsid w:val="003C0595"/>
    <w:rsid w:val="003D7B27"/>
    <w:rsid w:val="0045282A"/>
    <w:rsid w:val="004E724D"/>
    <w:rsid w:val="005158DA"/>
    <w:rsid w:val="00525AFD"/>
    <w:rsid w:val="00553ECC"/>
    <w:rsid w:val="00597B7F"/>
    <w:rsid w:val="005D0E20"/>
    <w:rsid w:val="00604DA7"/>
    <w:rsid w:val="0064583D"/>
    <w:rsid w:val="00681407"/>
    <w:rsid w:val="006B2636"/>
    <w:rsid w:val="00756821"/>
    <w:rsid w:val="0078383F"/>
    <w:rsid w:val="007962F5"/>
    <w:rsid w:val="007F0598"/>
    <w:rsid w:val="008061C7"/>
    <w:rsid w:val="00833D35"/>
    <w:rsid w:val="008E2760"/>
    <w:rsid w:val="00945359"/>
    <w:rsid w:val="009E62CE"/>
    <w:rsid w:val="009E7939"/>
    <w:rsid w:val="009F443B"/>
    <w:rsid w:val="00A16B1E"/>
    <w:rsid w:val="00A3003A"/>
    <w:rsid w:val="00AD01C2"/>
    <w:rsid w:val="00AF2D0F"/>
    <w:rsid w:val="00B32369"/>
    <w:rsid w:val="00B611C4"/>
    <w:rsid w:val="00B8649B"/>
    <w:rsid w:val="00BA35AE"/>
    <w:rsid w:val="00C37519"/>
    <w:rsid w:val="00CB1255"/>
    <w:rsid w:val="00CF1297"/>
    <w:rsid w:val="00D13589"/>
    <w:rsid w:val="00D62BFD"/>
    <w:rsid w:val="00DC2903"/>
    <w:rsid w:val="00DD25E8"/>
    <w:rsid w:val="00DD75D2"/>
    <w:rsid w:val="00DE4C69"/>
    <w:rsid w:val="00E116AC"/>
    <w:rsid w:val="00E86A8E"/>
    <w:rsid w:val="00EB5C4D"/>
    <w:rsid w:val="00F35934"/>
    <w:rsid w:val="00F71AA1"/>
    <w:rsid w:val="00F77FE6"/>
    <w:rsid w:val="05354975"/>
    <w:rsid w:val="083B4680"/>
    <w:rsid w:val="0E685B8A"/>
    <w:rsid w:val="0E947483"/>
    <w:rsid w:val="0E962EBB"/>
    <w:rsid w:val="0F795DEE"/>
    <w:rsid w:val="10226E59"/>
    <w:rsid w:val="163E1418"/>
    <w:rsid w:val="169037B9"/>
    <w:rsid w:val="17654EB4"/>
    <w:rsid w:val="17E56A8D"/>
    <w:rsid w:val="20826B3E"/>
    <w:rsid w:val="24115F3B"/>
    <w:rsid w:val="24C2671D"/>
    <w:rsid w:val="253509F5"/>
    <w:rsid w:val="2ADB50C5"/>
    <w:rsid w:val="2FCC028D"/>
    <w:rsid w:val="319D56DA"/>
    <w:rsid w:val="34492E3F"/>
    <w:rsid w:val="384543FB"/>
    <w:rsid w:val="3E8F5048"/>
    <w:rsid w:val="3F066619"/>
    <w:rsid w:val="3FB76421"/>
    <w:rsid w:val="45624B09"/>
    <w:rsid w:val="474349C0"/>
    <w:rsid w:val="4AC745DC"/>
    <w:rsid w:val="4DE23B06"/>
    <w:rsid w:val="4F225C90"/>
    <w:rsid w:val="4FC73C7C"/>
    <w:rsid w:val="5AF7602A"/>
    <w:rsid w:val="60EA07D6"/>
    <w:rsid w:val="65AE207D"/>
    <w:rsid w:val="6C1D4149"/>
    <w:rsid w:val="6C280BAC"/>
    <w:rsid w:val="6E050025"/>
    <w:rsid w:val="714E64C1"/>
    <w:rsid w:val="759E66CC"/>
    <w:rsid w:val="769E115F"/>
    <w:rsid w:val="7A5A45BA"/>
    <w:rsid w:val="7B8545D8"/>
    <w:rsid w:val="7BB531F0"/>
    <w:rsid w:val="7E037A33"/>
    <w:rsid w:val="7F076566"/>
    <w:rsid w:val="7F0A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left"/>
      <w:outlineLvl w:val="0"/>
    </w:pPr>
    <w:rPr>
      <w:rFonts w:eastAsia="黑体"/>
      <w:b/>
      <w:bCs/>
      <w:kern w:val="44"/>
      <w:sz w:val="32"/>
      <w:szCs w:val="44"/>
    </w:rPr>
  </w:style>
  <w:style w:type="paragraph" w:styleId="3">
    <w:name w:val="heading 2"/>
    <w:basedOn w:val="1"/>
    <w:next w:val="1"/>
    <w:qFormat/>
    <w:uiPriority w:val="0"/>
    <w:pPr>
      <w:keepNext/>
      <w:keepLines/>
      <w:spacing w:before="120" w:after="120" w:line="415" w:lineRule="auto"/>
      <w:outlineLvl w:val="1"/>
    </w:pPr>
    <w:rPr>
      <w:rFonts w:ascii="Arial" w:hAnsi="Arial" w:eastAsia="仿宋"/>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pPr>
      <w:widowControl/>
      <w:spacing w:before="100" w:beforeAutospacing="1" w:after="100" w:afterAutospacing="1"/>
      <w:jc w:val="left"/>
    </w:pPr>
    <w:rPr>
      <w:rFonts w:ascii="宋体" w:hAnsi="宋体"/>
      <w:color w:val="000066"/>
      <w:kern w:val="0"/>
      <w:sz w:val="24"/>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Body Text First Indent"/>
    <w:basedOn w:val="4"/>
    <w:qFormat/>
    <w:uiPriority w:val="0"/>
    <w:pPr>
      <w:ind w:firstLine="420" w:firstLineChars="1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styleId="15">
    <w:name w:val="List Paragraph"/>
    <w:basedOn w:val="1"/>
    <w:qFormat/>
    <w:uiPriority w:val="0"/>
    <w:pPr>
      <w:ind w:firstLine="420" w:firstLineChars="200"/>
    </w:pPr>
  </w:style>
  <w:style w:type="character" w:styleId="16">
    <w:name w:val="Placeholder Text"/>
    <w:basedOn w:val="1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71D6F-F86A-4CC4-8360-FB90A819C4B0}">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16413</Words>
  <Characters>17155</Characters>
  <Lines>141</Lines>
  <Paragraphs>39</Paragraphs>
  <TotalTime>2</TotalTime>
  <ScaleCrop>false</ScaleCrop>
  <LinksUpToDate>false</LinksUpToDate>
  <CharactersWithSpaces>17266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2022-09-09T14:56:00Z</dcterms:created>
  <dc:creator>Administrator</dc:creator>
  <cp:lastModifiedBy>瑰</cp:lastModifiedBy>
  <dcterms:modified xsi:type="dcterms:W3CDTF">2022-09-12T07:19:40Z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920F4C31061B4AE7B018721F9B71EAF5</vt:lpwstr>
  </property>
</Properties>
</file>