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宋体" w:hAnsi="宋体" w:cs="宋体"/>
          <w:color w:val="0000FF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</w:rPr>
        <w:t>货物需求及技术要求</w:t>
      </w:r>
    </w:p>
    <w:p>
      <w:pPr>
        <w:widowControl/>
        <w:spacing w:line="500" w:lineRule="exact"/>
        <w:ind w:firstLine="430"/>
        <w:jc w:val="left"/>
        <w:rPr>
          <w:rFonts w:hint="eastAsia" w:ascii="宋体" w:hAnsi="宋体" w:cs="宋体"/>
          <w:b/>
          <w:bCs/>
          <w:color w:val="000000"/>
          <w:szCs w:val="21"/>
        </w:rPr>
      </w:pPr>
      <w:bookmarkStart w:id="0" w:name="_Toc54938481"/>
      <w:r>
        <w:rPr>
          <w:rFonts w:hint="eastAsia" w:ascii="宋体" w:hAnsi="宋体" w:cs="宋体"/>
          <w:b/>
          <w:bCs/>
          <w:color w:val="000000"/>
          <w:szCs w:val="21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</w:p>
    <w:p>
      <w:pPr>
        <w:widowControl/>
        <w:spacing w:line="360" w:lineRule="auto"/>
        <w:ind w:firstLine="405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1</w:t>
      </w:r>
      <w:r>
        <w:rPr>
          <w:rFonts w:hint="eastAsia" w:ascii="宋体" w:hAnsi="宋体"/>
          <w:b/>
          <w:bCs/>
          <w:szCs w:val="21"/>
          <w:highlight w:val="none"/>
        </w:rPr>
        <w:t>、在采购活动开始前没有获准采购进口产品而开展采购活动的，视同为拒绝采购进口产品。</w:t>
      </w:r>
    </w:p>
    <w:p>
      <w:pPr>
        <w:widowControl/>
        <w:spacing w:line="360" w:lineRule="auto"/>
        <w:ind w:firstLine="405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2</w:t>
      </w:r>
      <w:r>
        <w:rPr>
          <w:rFonts w:hint="eastAsia" w:ascii="宋体" w:hAnsi="宋体"/>
          <w:b/>
          <w:bCs/>
          <w:szCs w:val="21"/>
          <w:highlight w:val="none"/>
        </w:rPr>
        <w:t>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文件</w:t>
      </w:r>
      <w:r>
        <w:rPr>
          <w:rFonts w:hint="eastAsia" w:ascii="宋体" w:hAnsi="宋体"/>
          <w:b/>
          <w:bCs/>
          <w:szCs w:val="21"/>
          <w:highlight w:val="none"/>
        </w:rPr>
        <w:t>要求的国内产品参与竞争。未标注进口产品的货物均为拒绝采购进口产品。</w:t>
      </w:r>
    </w:p>
    <w:p>
      <w:pPr>
        <w:widowControl/>
        <w:spacing w:line="360" w:lineRule="auto"/>
        <w:ind w:firstLine="405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3</w:t>
      </w:r>
      <w:r>
        <w:rPr>
          <w:rFonts w:hint="eastAsia" w:ascii="宋体" w:hAnsi="宋体"/>
          <w:b/>
          <w:bCs/>
          <w:szCs w:val="21"/>
          <w:highlight w:val="none"/>
        </w:rPr>
        <w:t>、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成交人</w:t>
      </w:r>
      <w:r>
        <w:rPr>
          <w:rFonts w:hint="eastAsia" w:ascii="宋体" w:hAnsi="宋体"/>
          <w:b/>
          <w:bCs/>
          <w:szCs w:val="21"/>
          <w:highlight w:val="none"/>
        </w:rPr>
        <w:t>提供的货物为进口产品的，供货时须向采购人提供所投进口产品的海关报关单等证明材料。</w:t>
      </w:r>
    </w:p>
    <w:bookmarkEnd w:id="0"/>
    <w:p>
      <w:pPr>
        <w:keepNext/>
        <w:keepLines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bookmarkStart w:id="1" w:name="_Toc28396"/>
      <w:bookmarkStart w:id="2" w:name="_Toc54938482"/>
      <w:bookmarkStart w:id="3" w:name="_Toc4579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一、项目概述</w:t>
      </w:r>
      <w:bookmarkEnd w:id="1"/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安庆职业技术学院图文信息中心机房现UPS设计为机房核心网络设备，服务器，监控等设备提供电源保障。随着业务发展和信息化系统的逐渐开展，使得机房服务器、存储等核心设备不断增加，而机房核心设备作为图文信息中心信息化数据的载体和处理工具，需24小时不间断工作，这对UPS供电系统的可靠性要求非常高，而现有的UPS功率将无法保障今后图文信息中心需求，为保障图文信息中心今后业务需求，拟对机房UPS系统进行升级更换。</w:t>
      </w:r>
    </w:p>
    <w:p>
      <w:pPr>
        <w:spacing w:line="360" w:lineRule="auto"/>
        <w:ind w:firstLine="42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原有的一台20KVA的UPS， 64节12V 100AH蓄电池使用年限已长，性能下降已不能满足现有设备的需求。如不及时更换将对UPS的安全运行造成重大的安全隐患。为满足现有设备及以后扩容的需求，现选择更换1台40KVA的UPS和128节100AH全新电池，使其配置满载可待机时长3小时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更换的目的：保证机房UPS能满足今后若干年信息化系统业务开展需求。</w:t>
      </w:r>
    </w:p>
    <w:p>
      <w:pPr>
        <w:keepNext/>
        <w:keepLines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bookmarkStart w:id="4" w:name="_Toc8433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二、设计依据</w:t>
      </w:r>
      <w:bookmarkEnd w:id="4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1、GB 50174-2008《电子计算机机房设计规范》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2、GB50462-2008《电子信息系统机房施工及验收规范》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3、TIA-942国际电信联合会数据中心建设标准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4、YD/T 1095-2000《信息技术设备用不间断电源通用技术条件》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5、GB2887-2000《计算机场地技术条件》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6、GB50052-95《供配电系统设计规范》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7、GB50054-95《低压配电设计规范》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8、GB7450-87《电子设备雷击保护导则》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9、CECS72：97 《建筑与建筑群综合布线系统工程设计规范》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10、CECS89：97《建筑与建筑群综合布线系统工程施工及验收规范》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11、客户机房实地建设要求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、上述技术标准和规范均以最新版本的国家标准、规范为准。</w:t>
      </w:r>
    </w:p>
    <w:p>
      <w:pPr>
        <w:keepNext/>
        <w:keepLines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bookmarkStart w:id="5" w:name="_Toc303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三、设计原则</w:t>
      </w:r>
      <w:bookmarkEnd w:id="5"/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1、高可靠性：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这是系统设计最重要的基础、是用户设备稳定工作的重要保障。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2、技术的先进性：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UPS</w:t>
      </w:r>
      <w:r>
        <w:rPr>
          <w:rFonts w:hint="eastAsia" w:ascii="宋体" w:hAnsi="宋体"/>
        </w:rPr>
        <w:t>系统应具备目前先进的技术，并能满足未来发展的需要。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3、良好的管理性：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UPS</w:t>
      </w:r>
      <w:r>
        <w:rPr>
          <w:rFonts w:hint="eastAsia" w:ascii="宋体" w:hAnsi="宋体"/>
        </w:rPr>
        <w:t>具备直观的状态显示和方便的操作、具有远程监控和管理能力。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4、良好的维护性：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UPS</w:t>
      </w:r>
      <w:r>
        <w:rPr>
          <w:rFonts w:hint="eastAsia" w:ascii="宋体" w:hAnsi="宋体"/>
        </w:rPr>
        <w:t>系统具备故障自动检测和报警能力；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特别具有良好的维护性并保护用户对电池系统的投资。</w:t>
      </w:r>
    </w:p>
    <w:p>
      <w:pPr>
        <w:numPr>
          <w:ilvl w:val="0"/>
          <w:numId w:val="0"/>
        </w:numPr>
        <w:spacing w:line="360" w:lineRule="auto"/>
        <w:ind w:leftChars="0" w:firstLine="422" w:firstLineChars="200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  <w:lang w:val="en-US" w:eastAsia="zh-CN"/>
        </w:rPr>
        <w:t>5、</w:t>
      </w:r>
      <w:r>
        <w:rPr>
          <w:rFonts w:hint="eastAsia" w:ascii="宋体" w:hAnsi="宋体" w:cs="Arial"/>
          <w:b/>
          <w:szCs w:val="21"/>
        </w:rPr>
        <w:t>最佳性能价格比：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UPS</w:t>
      </w:r>
      <w:r>
        <w:rPr>
          <w:rFonts w:hint="eastAsia" w:ascii="宋体" w:hAnsi="宋体" w:cs="Arial"/>
          <w:szCs w:val="21"/>
        </w:rPr>
        <w:t>系统具备良好的性能和相对较低的价格，满足用户的投资需求。</w:t>
      </w:r>
    </w:p>
    <w:p>
      <w:pPr>
        <w:keepNext/>
        <w:keepLines/>
        <w:adjustRightInd w:val="0"/>
        <w:snapToGrid w:val="0"/>
        <w:spacing w:line="360" w:lineRule="auto"/>
        <w:outlineLvl w:val="2"/>
        <w:rPr>
          <w:rFonts w:ascii="Times New Roman" w:hAnsi="Times New Roman"/>
          <w:b/>
          <w:kern w:val="44"/>
          <w:sz w:val="28"/>
          <w:szCs w:val="21"/>
        </w:rPr>
      </w:pPr>
      <w:bookmarkStart w:id="6" w:name="_Toc20326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四、</w:t>
      </w:r>
      <w:bookmarkEnd w:id="6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U</w:t>
      </w:r>
      <w:r>
        <w:rPr>
          <w:rFonts w:ascii="宋体" w:hAnsi="宋体" w:cs="宋体"/>
          <w:b/>
          <w:bCs/>
          <w:color w:val="000000"/>
          <w:kern w:val="0"/>
          <w:sz w:val="24"/>
        </w:rPr>
        <w:t>PS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设计思路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1、UPS主机的选择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考虑到UPS主要为服务器等数据通讯设备提供后备电源，根据实际需求，对服务器等重要设备提供后备电源。按照现场最大负载计算，考虑到UPS运行的效率在80%左右，需要更换为40KVA的UPS机头。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本设计为更换1台40KVA UPS对机房设备进行供电。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根据实际需求，选用了标准配置带输出隔离变压器的UPS，此设备为双变换在线式智能化正弦波不间断电源系统，能够为用户的精密仪器设备提供可靠、优质的交流电源。整机采用塔式结构设计，输入、输出均为三相五线制，兼容TN-S供电制式，降低共模干扰，最大程度提高系统的可靠性；电池采用阀控式密封铅酸蓄电池，循环充放电次数达500次以上，使用寿命8年以上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2、后备电池的选择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根据实际需求为机房电源解决方案配备UPS 的电池共128节12V 100AH铅酸免维护电池，满足实际使用的服务器及网络设备延时需要。</w:t>
      </w:r>
    </w:p>
    <w:p>
      <w:pPr>
        <w:keepNext/>
        <w:keepLines/>
        <w:pageBreakBefore/>
        <w:adjustRightInd w:val="0"/>
        <w:snapToGrid w:val="0"/>
        <w:spacing w:line="360" w:lineRule="auto"/>
        <w:outlineLvl w:val="2"/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五、货物需求一览表</w:t>
      </w:r>
    </w:p>
    <w:tbl>
      <w:tblPr>
        <w:tblStyle w:val="7"/>
        <w:tblpPr w:leftFromText="180" w:rightFromText="180" w:vertAnchor="text" w:horzAnchor="page" w:tblpX="1152" w:tblpY="466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04"/>
        <w:gridCol w:w="5632"/>
        <w:gridCol w:w="832"/>
        <w:gridCol w:w="723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bookmarkStart w:id="7" w:name="_Toc8795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04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5632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竞争性谈判技术参数</w:t>
            </w:r>
          </w:p>
        </w:tc>
        <w:tc>
          <w:tcPr>
            <w:tcW w:w="832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23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1" w:type="dxa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UPS主机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trike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三进三出工频双变换在线式40KVA主机一台。输入端带有电抗器，输出端带有升压隔离变压器。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、UPS 具备一种电感与散热装置的固定方法，其设计科学、巧妙合理，可使电感与散热装置之间连接稳固可靠，且保证了电感的绝缘、散热性能，还便于电感的拆装，利于产品的维护，</w:t>
            </w:r>
            <w:r>
              <w:rPr>
                <w:rFonts w:hint="eastAsia"/>
                <w:b w:val="0"/>
                <w:bCs w:val="0"/>
                <w:highlight w:val="none"/>
              </w:rPr>
              <w:t>提供具有CMA或CNAS认证标识的第三方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加检测</w:t>
            </w:r>
            <w:r>
              <w:rPr>
                <w:rFonts w:hint="eastAsia"/>
                <w:b w:val="0"/>
                <w:bCs w:val="0"/>
                <w:highlight w:val="none"/>
              </w:rPr>
              <w:t>报告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；IGBT驱动电路的隔离电源，整机为IGBT驱动器提供稳定可靠的电源,电源采用的是光隔离技术,避免电磁辐射的问题,抗空间电磁信号的干扰，</w:t>
            </w:r>
            <w:r>
              <w:rPr>
                <w:rFonts w:hint="eastAsia"/>
                <w:b w:val="0"/>
                <w:bCs w:val="0"/>
                <w:highlight w:val="none"/>
              </w:rPr>
              <w:t>提供具有CMA或CNAS认证标识的第三方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检测</w:t>
            </w:r>
            <w:r>
              <w:rPr>
                <w:rFonts w:hint="eastAsia"/>
                <w:b w:val="0"/>
                <w:bCs w:val="0"/>
                <w:highlight w:val="none"/>
              </w:rPr>
              <w:t>报告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3、具有油机Power walk in功能；具备经济运行模式（ECO）功能；具备LBS同步能力，实现UPS系统同步。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4、LCD中文显示，屏幕不小于5英寸，可显示输入输出电压、频率、功率、功率因数、电池电压、电流、电池状态、负载百分比、ups状态、历史记录、设置参数。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5、整流输入电压范围：(380VAC/400VAC/415VAC) ±25%(三相五线)，输入功率因数：0.97（加滤波器），输入电流谐波：满载时≤1.5%，输出电压失真度：失真度＜1%（线性负载），失真度＜5%（非线性负载）。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6、输出功率因数：UPS的输出功率因数高达0.9。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7、输出过载能力：负载≤110%，60min，≤125%，维持10min，≤150%维持1min。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8、外接电池标称电压: 384Vdc。具有独立的充电器，充电器可进行均流充电，避免过充对电池造成鼓包，影响电池使用寿命，</w:t>
            </w:r>
            <w:r>
              <w:rPr>
                <w:rFonts w:hint="eastAsia"/>
                <w:b w:val="0"/>
                <w:bCs w:val="0"/>
                <w:highlight w:val="none"/>
              </w:rPr>
              <w:t>提供具有CMA或CNAS认证标识的第三方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检测</w:t>
            </w:r>
            <w:r>
              <w:rPr>
                <w:rFonts w:hint="eastAsia"/>
                <w:b w:val="0"/>
                <w:bCs w:val="0"/>
                <w:highlight w:val="none"/>
              </w:rPr>
              <w:t>报告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9、提供制造商的环境管理体系证书、职业健康安全管理认证， 质量管理认证证书及工业与信息化融合管理体系证书；</w:t>
            </w:r>
          </w:p>
          <w:p>
            <w:pPr>
              <w:pStyle w:val="6"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10、谈判响应人承诺提供3年原厂售后服务，提供承诺函并加盖供应商公章。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1、投标产品应为12V100AH 蓄电池，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非OEM、ODM等代工产品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；电池使用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寿命≥1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2、蓄电池外观要求：无变形、漏液、裂纹及污迹；标识清晰；蓄电池内部符合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zh-CN"/>
              </w:rPr>
              <w:t>电池指令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，电池壳体、印刷及外装箱符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zh-CN"/>
              </w:rPr>
              <w:t>合ROHS标准。防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伪：电话查询，二维码查询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验。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自放电损失：每月小于3％。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封口性能好：环境温度-30℃~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65℃之间，封口剂无裂纹与溢酸现象；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放电性能好：放电电压平稳，放电平台平缓；密封反应效率高：静默28天后容量保存率不低于98%；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耐过充电能力好：完全充电后的电池以0.3 I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highlight w:val="none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A连续充电160小时，无变形，无漏液；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再充电能力强：恒压充电24小时的再充电能力因素达89.9%；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容量一致性好：同组蓄电池10小时率容量试验时，最大实际容量与最小实际容量差值仅2.9%；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电池间连接电压降低：仅为8mV；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trike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4、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蓄电池在正常工作中应无酸雾逸出。防火级产品，蓄电池在充电过程中遇有明火内部不应引爆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/>
                <w:b w:val="0"/>
                <w:bCs w:val="0"/>
                <w:highlight w:val="none"/>
              </w:rPr>
              <w:t>提供具有CMA、CNAS认证标识的第三方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检测</w:t>
            </w:r>
            <w:r>
              <w:rPr>
                <w:rFonts w:hint="eastAsia"/>
                <w:b w:val="0"/>
                <w:bCs w:val="0"/>
                <w:highlight w:val="none"/>
              </w:rPr>
              <w:t>报告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5、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外壳材质：ABS树脂。防火级: 符UL94V-0标准---最高等级，</w:t>
            </w:r>
            <w:r>
              <w:rPr>
                <w:rFonts w:hint="eastAsia"/>
                <w:b w:val="0"/>
                <w:bCs w:val="0"/>
                <w:highlight w:val="none"/>
              </w:rPr>
              <w:t>提供SGS测试报告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highlight w:val="none"/>
              </w:rPr>
              <w:t>电池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端子防漏夜设计：确保电池不漏液，蓄电池采用跨桥式连接构造；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6、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制造商环境管理体系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/>
              </w:rPr>
              <w:t>认证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证书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、职业健康安全管理认证、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质量管理体系认证证书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及UL94V-0防火证明、TLC证书及检测报告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谈判响应人承诺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/>
                <w:b w:val="0"/>
                <w:bCs w:val="0"/>
                <w:highlight w:val="none"/>
              </w:rPr>
              <w:t>3年原厂售后服务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b w:val="0"/>
                <w:bCs w:val="0"/>
                <w:highlight w:val="none"/>
              </w:rPr>
              <w:t>承诺函并加盖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b w:val="0"/>
                <w:bCs w:val="0"/>
                <w:highlight w:val="none"/>
              </w:rPr>
              <w:t>公章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动态环境系统对接监控UPS主机数据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与原有动态环境系统对接（共济环境监控系统）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电池架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可放置12V 100AH电池32节，含35mm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电池连接线，电池到主机连接线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空开及空开箱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承重支架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为40KVA主机及配套电池承重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安装费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拆除旧设备安装新的设备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输入输出线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PDU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一个机柜配两个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工业连接器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配套PDU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线路改造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RVV3*4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金属线槽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金属线槽100*100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辅料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胶布、扎带、铜鼻子等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施工费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线路改造及原有线路拆除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83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说明：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1、谈判响应人的谈判响应文件必须标明所投货物的品牌与参数，保证原厂正品供货，提供相关资料等。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2、本项目技术参数中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检测报告、测试报告、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环境管理体系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认证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证书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zh-CN"/>
              </w:rPr>
              <w:t>、职业健康安全管理认证、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质量管理体系认证证书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zh-CN"/>
              </w:rPr>
              <w:t>、工业与信息化融合管理体系证书、UL94V-0防火证明、TLC证书、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承诺函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等均在成交通知书发出后7个工作日内提供。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</w:rPr>
              <w:t>如材料不符，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</w:rPr>
              <w:t>有权取消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</w:rPr>
              <w:t>资格。引起的一切责任及后果由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  <w:lang w:val="en-US" w:eastAsia="zh-CN"/>
              </w:rPr>
              <w:t>成交人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szCs w:val="21"/>
                <w:highlight w:val="none"/>
              </w:rPr>
              <w:t>自行承担。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、本项目所有内容均需提供三年免费质保。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、撤除原有的U</w:t>
            </w:r>
            <w:r>
              <w:rPr>
                <w:rFonts w:ascii="宋体" w:hAnsi="宋体" w:cs="宋体"/>
                <w:b/>
                <w:bCs/>
                <w:szCs w:val="21"/>
                <w:highlight w:val="none"/>
              </w:rPr>
              <w:t>PS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主机和电池及部分线路。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、成交人的报价应包含完成本项目验收通过所产生的全部费用，成交人自行考虑报价风险。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本次采购最高限价：人民币贰拾捌万伍仟元整（￥285000元）</w:t>
            </w:r>
          </w:p>
        </w:tc>
      </w:tr>
      <w:bookmarkEnd w:id="7"/>
    </w:tbl>
    <w:p>
      <w:pPr>
        <w:pStyle w:val="5"/>
        <w:rPr>
          <w:rFonts w:hint="eastAsia"/>
        </w:rPr>
      </w:pPr>
    </w:p>
    <w:p>
      <w:pPr>
        <w:pStyle w:val="4"/>
        <w:ind w:firstLine="472" w:firstLineChars="196"/>
        <w:rPr>
          <w:rFonts w:hAnsi="宋体" w:cs="宋体"/>
          <w:color w:val="000000"/>
          <w:highlight w:val="none"/>
        </w:rPr>
      </w:pPr>
      <w:r>
        <w:rPr>
          <w:rFonts w:hint="eastAsia" w:hAnsi="宋体" w:cs="宋体"/>
          <w:color w:val="000000"/>
          <w:highlight w:val="none"/>
          <w:lang w:val="en-US" w:eastAsia="zh-CN"/>
        </w:rPr>
        <w:t>六</w:t>
      </w:r>
      <w:r>
        <w:rPr>
          <w:rFonts w:hint="eastAsia" w:hAnsi="宋体" w:cs="宋体"/>
          <w:color w:val="000000"/>
          <w:highlight w:val="none"/>
        </w:rPr>
        <w:t>、人员培训要求</w:t>
      </w:r>
      <w:bookmarkEnd w:id="2"/>
      <w:bookmarkEnd w:id="3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货物安装、调试、验收合格后，成交人应对采购人的相关人员进行免费现场培训。培训内容包括基本操作、保养维修、常见故障及解决办法等。</w:t>
      </w:r>
    </w:p>
    <w:p>
      <w:pPr>
        <w:pStyle w:val="4"/>
        <w:ind w:firstLine="472" w:firstLineChars="196"/>
        <w:rPr>
          <w:rFonts w:hAnsi="宋体" w:cs="宋体"/>
          <w:color w:val="000000"/>
          <w:highlight w:val="none"/>
        </w:rPr>
      </w:pPr>
      <w:bookmarkStart w:id="8" w:name="_Toc54938483"/>
      <w:bookmarkStart w:id="9" w:name="_Toc21193"/>
      <w:r>
        <w:rPr>
          <w:rFonts w:hint="eastAsia" w:hAnsi="宋体" w:cs="宋体"/>
          <w:color w:val="000000"/>
          <w:highlight w:val="none"/>
          <w:lang w:val="en-US" w:eastAsia="zh-CN"/>
        </w:rPr>
        <w:t>七</w:t>
      </w:r>
      <w:r>
        <w:rPr>
          <w:rFonts w:hint="eastAsia" w:hAnsi="宋体" w:cs="宋体"/>
          <w:color w:val="000000"/>
          <w:highlight w:val="none"/>
        </w:rPr>
        <w:t>、货物质量及售后服务要求</w:t>
      </w:r>
      <w:bookmarkEnd w:id="8"/>
      <w:bookmarkEnd w:id="9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>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2</w:t>
      </w:r>
      <w:r>
        <w:rPr>
          <w:rFonts w:hint="eastAsia" w:ascii="宋体" w:hAnsi="宋体" w:cs="宋体"/>
          <w:color w:val="000000"/>
          <w:szCs w:val="21"/>
          <w:highlight w:val="none"/>
        </w:rPr>
        <w:t>、保修及售后服务：依据商品的保修条款及售后服务条款，提供原厂质保，质保期按照国家规定，且不低于所供品牌向用户承诺的质保期限，竞争性谈判文件另有约定的从其约定。质保期从货物验收合格后算起。</w:t>
      </w:r>
    </w:p>
    <w:p>
      <w:pPr>
        <w:pStyle w:val="4"/>
        <w:ind w:firstLine="472" w:firstLineChars="196"/>
        <w:rPr>
          <w:rFonts w:hAnsi="宋体" w:cs="宋体"/>
          <w:color w:val="000000"/>
          <w:highlight w:val="none"/>
        </w:rPr>
      </w:pPr>
      <w:bookmarkStart w:id="10" w:name="_Toc23093"/>
      <w:bookmarkStart w:id="11" w:name="_Toc54938484"/>
      <w:r>
        <w:rPr>
          <w:rFonts w:hint="eastAsia" w:hAnsi="宋体" w:cs="宋体"/>
          <w:color w:val="000000"/>
          <w:highlight w:val="none"/>
          <w:lang w:val="en-US" w:eastAsia="zh-CN"/>
        </w:rPr>
        <w:t>八</w:t>
      </w:r>
      <w:r>
        <w:rPr>
          <w:rFonts w:hint="eastAsia" w:hAnsi="宋体" w:cs="宋体"/>
          <w:color w:val="000000"/>
          <w:highlight w:val="none"/>
        </w:rPr>
        <w:t>、验收</w:t>
      </w:r>
      <w:bookmarkEnd w:id="10"/>
      <w:bookmarkEnd w:id="11"/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    成交人和采购人双方共同实施验收工作，结果和验收报告经双方确认后生效。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4E242407"/>
    <w:rsid w:val="4E2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annotation text"/>
    <w:basedOn w:val="1"/>
    <w:qFormat/>
    <w:uiPriority w:val="99"/>
    <w:pPr>
      <w:jc w:val="left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2022-09-09T01:29:00Z</dcterms:created>
  <dc:creator>NTKO</dc:creator>
  <cp:lastModifiedBy>NTKO</cp:lastModifiedBy>
  <dcterms:modified xsi:type="dcterms:W3CDTF">2022-09-09T01:29:25Z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D9E13315DC1740BF86025D284894E395</vt:lpwstr>
  </property>
</Properties>
</file>