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85565">
      <w:pPr>
        <w:pStyle w:val="3"/>
        <w:numPr>
          <w:ilvl w:val="0"/>
          <w:numId w:val="1"/>
        </w:numPr>
        <w:spacing w:before="62" w:beforeLines="20" w:after="62" w:afterLines="20" w:line="480" w:lineRule="exact"/>
        <w:ind w:firstLine="0" w:firstLineChars="0"/>
        <w:jc w:val="center"/>
        <w:rPr>
          <w:rFonts w:ascii="Arial" w:hAnsi="Arial"/>
          <w:kern w:val="2"/>
          <w:sz w:val="32"/>
          <w:szCs w:val="32"/>
          <w:lang w:val="zh-CN"/>
        </w:rPr>
      </w:pPr>
      <w:bookmarkStart w:id="0" w:name="_Toc24597"/>
      <w:r>
        <w:rPr>
          <w:rFonts w:hint="eastAsia" w:ascii="Arial" w:hAnsi="Arial"/>
          <w:kern w:val="2"/>
          <w:sz w:val="32"/>
          <w:szCs w:val="32"/>
        </w:rPr>
        <w:t>采购需求</w:t>
      </w:r>
      <w:bookmarkEnd w:id="0"/>
    </w:p>
    <w:p w14:paraId="63A92D63">
      <w:pPr>
        <w:spacing w:line="360" w:lineRule="auto"/>
        <w:ind w:firstLine="422" w:firstLineChars="200"/>
      </w:pPr>
      <w:r>
        <w:rPr>
          <w:rFonts w:hint="eastAsia" w:ascii="宋体" w:hAnsi="宋体"/>
          <w:b/>
          <w:bCs/>
          <w:szCs w:val="21"/>
        </w:rPr>
        <w:t>一、商务要求</w:t>
      </w:r>
    </w:p>
    <w:tbl>
      <w:tblPr>
        <w:tblStyle w:val="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3FC8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371DE3D">
            <w:pPr>
              <w:pStyle w:val="7"/>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730323E3">
            <w:pPr>
              <w:pStyle w:val="7"/>
              <w:jc w:val="center"/>
            </w:pPr>
            <w:r>
              <w:rPr>
                <w:rFonts w:hint="eastAsia" w:asciiTheme="minorEastAsia" w:hAnsiTheme="minorEastAsia"/>
                <w:b/>
                <w:bCs/>
                <w:sz w:val="24"/>
                <w:szCs w:val="24"/>
              </w:rPr>
              <w:t>条款名称</w:t>
            </w:r>
          </w:p>
        </w:tc>
        <w:tc>
          <w:tcPr>
            <w:tcW w:w="5170" w:type="dxa"/>
            <w:vAlign w:val="center"/>
          </w:tcPr>
          <w:p w14:paraId="5D1E3A7B">
            <w:pPr>
              <w:pStyle w:val="7"/>
              <w:jc w:val="center"/>
              <w:rPr>
                <w:rFonts w:hint="eastAsia" w:cs="Wingdings" w:asciiTheme="minorEastAsia" w:hAnsiTheme="minorEastAsia"/>
                <w:b/>
                <w:sz w:val="24"/>
              </w:rPr>
            </w:pPr>
            <w:r>
              <w:rPr>
                <w:rFonts w:hint="eastAsia" w:cs="Wingdings" w:asciiTheme="minorEastAsia" w:hAnsiTheme="minorEastAsia"/>
                <w:b/>
                <w:sz w:val="24"/>
              </w:rPr>
              <w:t>具体要求内容</w:t>
            </w:r>
          </w:p>
        </w:tc>
      </w:tr>
      <w:tr w14:paraId="188F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08" w:type="dxa"/>
            <w:vAlign w:val="center"/>
          </w:tcPr>
          <w:p w14:paraId="0A25C2A7">
            <w:pPr>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2391" w:type="dxa"/>
            <w:vAlign w:val="center"/>
          </w:tcPr>
          <w:p w14:paraId="41274896">
            <w:pPr>
              <w:jc w:val="center"/>
              <w:rPr>
                <w:rFonts w:hint="eastAsia" w:ascii="宋体" w:hAnsi="宋体"/>
                <w:szCs w:val="21"/>
              </w:rPr>
            </w:pPr>
            <w:r>
              <w:rPr>
                <w:rFonts w:asciiTheme="minorEastAsia" w:hAnsiTheme="minorEastAsia" w:eastAsiaTheme="minorEastAsia"/>
                <w:szCs w:val="21"/>
              </w:rPr>
              <w:t>付款方式</w:t>
            </w:r>
          </w:p>
        </w:tc>
        <w:tc>
          <w:tcPr>
            <w:tcW w:w="5170" w:type="dxa"/>
            <w:vAlign w:val="center"/>
          </w:tcPr>
          <w:p w14:paraId="047C570C">
            <w:pPr>
              <w:spacing w:line="360" w:lineRule="auto"/>
              <w:jc w:val="center"/>
              <w:rPr>
                <w:rFonts w:hint="eastAsia" w:asciiTheme="minorEastAsia" w:hAnsiTheme="minorEastAsia" w:eastAsiaTheme="minorEastAsia"/>
                <w:szCs w:val="21"/>
              </w:rPr>
            </w:pPr>
            <w:r>
              <w:rPr>
                <w:rFonts w:hint="eastAsia"/>
                <w:szCs w:val="21"/>
              </w:rPr>
              <w:t>教职工体检费用结算按照实际参检人数和成交单价据实结算，一次性转账付清。</w:t>
            </w:r>
          </w:p>
        </w:tc>
      </w:tr>
      <w:tr w14:paraId="074E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93F1846">
            <w:pPr>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2391" w:type="dxa"/>
            <w:vAlign w:val="center"/>
          </w:tcPr>
          <w:p w14:paraId="40189E37">
            <w:pPr>
              <w:jc w:val="center"/>
              <w:rPr>
                <w:rFonts w:hint="eastAsia" w:ascii="宋体" w:hAnsi="宋体"/>
                <w:szCs w:val="21"/>
              </w:rPr>
            </w:pPr>
            <w:r>
              <w:rPr>
                <w:rFonts w:hint="eastAsia" w:ascii="宋体" w:hAnsi="宋体"/>
                <w:szCs w:val="21"/>
              </w:rPr>
              <w:t>服务地点</w:t>
            </w:r>
          </w:p>
        </w:tc>
        <w:tc>
          <w:tcPr>
            <w:tcW w:w="5170" w:type="dxa"/>
            <w:vAlign w:val="center"/>
          </w:tcPr>
          <w:p w14:paraId="03A302D9">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安庆市</w:t>
            </w:r>
            <w:r>
              <w:rPr>
                <w:rFonts w:hint="eastAsia" w:asciiTheme="minorEastAsia" w:hAnsiTheme="minorEastAsia" w:eastAsiaTheme="minorEastAsia"/>
                <w:szCs w:val="21"/>
                <w:lang w:val="en-US" w:eastAsia="zh-CN"/>
              </w:rPr>
              <w:t>区</w:t>
            </w:r>
          </w:p>
        </w:tc>
      </w:tr>
      <w:tr w14:paraId="1A2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F76C64B">
            <w:pPr>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2391" w:type="dxa"/>
            <w:vAlign w:val="center"/>
          </w:tcPr>
          <w:p w14:paraId="1DCEA79D">
            <w:pPr>
              <w:jc w:val="center"/>
              <w:rPr>
                <w:rFonts w:hint="eastAsia" w:ascii="宋体" w:hAnsi="宋体"/>
                <w:szCs w:val="21"/>
              </w:rPr>
            </w:pPr>
            <w:r>
              <w:rPr>
                <w:rFonts w:hint="eastAsia" w:ascii="宋体" w:hAnsi="宋体"/>
                <w:szCs w:val="21"/>
              </w:rPr>
              <w:t>服务期限</w:t>
            </w:r>
          </w:p>
        </w:tc>
        <w:tc>
          <w:tcPr>
            <w:tcW w:w="5170" w:type="dxa"/>
            <w:vAlign w:val="center"/>
          </w:tcPr>
          <w:p w14:paraId="3606B4F9">
            <w:pPr>
              <w:jc w:val="center"/>
              <w:rPr>
                <w:rFonts w:hint="eastAsia" w:asciiTheme="minorEastAsia" w:hAnsiTheme="minorEastAsia" w:eastAsiaTheme="minorEastAsia"/>
                <w:szCs w:val="21"/>
              </w:rPr>
            </w:pPr>
            <w:r>
              <w:rPr>
                <w:rFonts w:hint="eastAsia"/>
              </w:rPr>
              <w:t>2024 年</w:t>
            </w:r>
            <w:r>
              <w:rPr>
                <w:rFonts w:hint="eastAsia"/>
                <w:lang w:val="en-US" w:eastAsia="zh-CN"/>
              </w:rPr>
              <w:t>12</w:t>
            </w:r>
            <w:r>
              <w:rPr>
                <w:rFonts w:hint="eastAsia"/>
              </w:rPr>
              <w:t>月-2025年1 月</w:t>
            </w:r>
          </w:p>
        </w:tc>
      </w:tr>
    </w:tbl>
    <w:p w14:paraId="34EEDA7A">
      <w:pPr>
        <w:ind w:firstLine="422" w:firstLineChars="200"/>
        <w:rPr>
          <w:rFonts w:hint="eastAsia" w:ascii="宋体" w:hAnsi="宋体"/>
          <w:b/>
          <w:bCs/>
          <w:szCs w:val="21"/>
        </w:rPr>
      </w:pPr>
    </w:p>
    <w:p w14:paraId="2DA5A46C">
      <w:pPr>
        <w:pStyle w:val="4"/>
        <w:numPr>
          <w:ilvl w:val="0"/>
          <w:numId w:val="2"/>
        </w:numPr>
        <w:spacing w:line="360" w:lineRule="auto"/>
        <w:ind w:firstLine="413" w:firstLineChars="196"/>
        <w:rPr>
          <w:rFonts w:hint="eastAsia"/>
          <w:bCs/>
          <w:szCs w:val="21"/>
        </w:rPr>
      </w:pPr>
      <w:r>
        <w:rPr>
          <w:rFonts w:hint="eastAsia"/>
          <w:bCs/>
          <w:szCs w:val="21"/>
        </w:rPr>
        <w:t>服务需求</w:t>
      </w:r>
    </w:p>
    <w:p w14:paraId="74A2192F">
      <w:pPr>
        <w:tabs>
          <w:tab w:val="left" w:pos="712"/>
        </w:tabs>
        <w:spacing w:line="360" w:lineRule="auto"/>
        <w:ind w:firstLine="641"/>
        <w:rPr>
          <w:rFonts w:hint="eastAsia" w:ascii="宋体" w:hAnsi="宋体" w:cs="宋体"/>
          <w:szCs w:val="32"/>
        </w:rPr>
      </w:pPr>
      <w:r>
        <w:rPr>
          <w:rFonts w:hint="eastAsia" w:ascii="宋体" w:hAnsi="宋体" w:cs="宋体"/>
          <w:szCs w:val="32"/>
        </w:rPr>
        <w:t>安庆职业技术学院2024年度部分教职工体检服务采购项目，预计体检人数3</w:t>
      </w:r>
      <w:r>
        <w:rPr>
          <w:rFonts w:hint="eastAsia" w:ascii="宋体" w:hAnsi="宋体" w:cs="宋体"/>
          <w:szCs w:val="32"/>
          <w:lang w:val="en-US" w:eastAsia="zh-CN"/>
        </w:rPr>
        <w:t>86</w:t>
      </w:r>
      <w:r>
        <w:rPr>
          <w:rFonts w:hint="eastAsia" w:ascii="宋体" w:hAnsi="宋体" w:cs="宋体"/>
          <w:szCs w:val="32"/>
        </w:rPr>
        <w:t>人，成交后根据实际体检人数*成交单价进行结算。</w:t>
      </w:r>
    </w:p>
    <w:p w14:paraId="11FB1AFA">
      <w:pPr>
        <w:tabs>
          <w:tab w:val="left" w:pos="712"/>
        </w:tabs>
        <w:spacing w:line="360" w:lineRule="auto"/>
        <w:ind w:firstLine="641"/>
        <w:rPr>
          <w:rFonts w:hint="eastAsia" w:ascii="宋体" w:hAnsi="宋体" w:cs="宋体"/>
          <w:b/>
          <w:bCs/>
          <w:szCs w:val="32"/>
        </w:rPr>
      </w:pPr>
      <w:r>
        <w:rPr>
          <w:rFonts w:hint="eastAsia" w:ascii="宋体" w:hAnsi="宋体" w:cs="宋体"/>
          <w:b/>
          <w:bCs/>
          <w:szCs w:val="32"/>
        </w:rPr>
        <w:t>（一）本次体检根据性别，分三个套餐类别，具体体检项目如下表：</w:t>
      </w:r>
    </w:p>
    <w:tbl>
      <w:tblPr>
        <w:tblStyle w:val="9"/>
        <w:tblW w:w="5000" w:type="pct"/>
        <w:tblInd w:w="0" w:type="dxa"/>
        <w:tblLayout w:type="fixed"/>
        <w:tblCellMar>
          <w:top w:w="0" w:type="dxa"/>
          <w:left w:w="108" w:type="dxa"/>
          <w:bottom w:w="0" w:type="dxa"/>
          <w:right w:w="108" w:type="dxa"/>
        </w:tblCellMar>
      </w:tblPr>
      <w:tblGrid>
        <w:gridCol w:w="695"/>
        <w:gridCol w:w="845"/>
        <w:gridCol w:w="4735"/>
        <w:gridCol w:w="853"/>
        <w:gridCol w:w="647"/>
        <w:gridCol w:w="747"/>
      </w:tblGrid>
      <w:tr w14:paraId="455B492B">
        <w:tblPrEx>
          <w:tblCellMar>
            <w:top w:w="0" w:type="dxa"/>
            <w:left w:w="108" w:type="dxa"/>
            <w:bottom w:w="0" w:type="dxa"/>
            <w:right w:w="108" w:type="dxa"/>
          </w:tblCellMar>
        </w:tblPrEx>
        <w:trPr>
          <w:trHeight w:val="270" w:hRule="atLeast"/>
        </w:trPr>
        <w:tc>
          <w:tcPr>
            <w:tcW w:w="903" w:type="pct"/>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22A81E5B">
            <w:pPr>
              <w:jc w:val="center"/>
              <w:rPr>
                <w:rFonts w:hint="eastAsia" w:ascii="宋体" w:hAnsi="宋体" w:cs="宋体"/>
                <w:b/>
                <w:bCs/>
                <w:color w:val="auto"/>
                <w:szCs w:val="21"/>
              </w:rPr>
            </w:pPr>
            <w:r>
              <w:rPr>
                <w:rFonts w:hint="eastAsia" w:ascii="宋体" w:hAnsi="宋体" w:cs="宋体"/>
                <w:b/>
                <w:bCs/>
                <w:color w:val="auto"/>
                <w:szCs w:val="21"/>
              </w:rPr>
              <w:t>检查项目</w:t>
            </w:r>
          </w:p>
        </w:tc>
        <w:tc>
          <w:tcPr>
            <w:tcW w:w="27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5E0B1C">
            <w:pPr>
              <w:jc w:val="center"/>
              <w:rPr>
                <w:rFonts w:hint="eastAsia" w:ascii="宋体" w:hAnsi="宋体" w:cs="宋体"/>
                <w:b/>
                <w:bCs/>
                <w:color w:val="auto"/>
                <w:szCs w:val="21"/>
              </w:rPr>
            </w:pPr>
            <w:r>
              <w:rPr>
                <w:rFonts w:hint="eastAsia" w:ascii="宋体" w:hAnsi="宋体" w:cs="宋体"/>
                <w:b/>
                <w:bCs/>
                <w:color w:val="auto"/>
                <w:szCs w:val="21"/>
              </w:rPr>
              <w:t>临床意义</w:t>
            </w:r>
          </w:p>
        </w:tc>
        <w:tc>
          <w:tcPr>
            <w:tcW w:w="1318" w:type="pct"/>
            <w:gridSpan w:val="3"/>
            <w:tcBorders>
              <w:top w:val="single" w:color="auto" w:sz="4" w:space="0"/>
              <w:left w:val="nil"/>
              <w:bottom w:val="single" w:color="auto" w:sz="4" w:space="0"/>
              <w:right w:val="single" w:color="auto" w:sz="4" w:space="0"/>
            </w:tcBorders>
            <w:shd w:val="clear" w:color="auto" w:fill="auto"/>
            <w:noWrap/>
            <w:vAlign w:val="center"/>
          </w:tcPr>
          <w:p w14:paraId="0BEEE6EE">
            <w:pPr>
              <w:jc w:val="center"/>
              <w:rPr>
                <w:rFonts w:hint="eastAsia" w:ascii="宋体" w:hAnsi="宋体" w:cs="宋体"/>
                <w:b/>
                <w:bCs/>
                <w:color w:val="auto"/>
                <w:szCs w:val="21"/>
              </w:rPr>
            </w:pPr>
            <w:r>
              <w:rPr>
                <w:rFonts w:ascii="宋体" w:hAnsi="宋体" w:cs="宋体"/>
                <w:b/>
                <w:bCs/>
                <w:color w:val="auto"/>
                <w:szCs w:val="21"/>
              </w:rPr>
              <w:t>性别</w:t>
            </w:r>
          </w:p>
        </w:tc>
      </w:tr>
      <w:tr w14:paraId="10AF0779">
        <w:tblPrEx>
          <w:tblCellMar>
            <w:top w:w="0" w:type="dxa"/>
            <w:left w:w="108" w:type="dxa"/>
            <w:bottom w:w="0" w:type="dxa"/>
            <w:right w:w="108" w:type="dxa"/>
          </w:tblCellMar>
        </w:tblPrEx>
        <w:trPr>
          <w:trHeight w:val="270" w:hRule="atLeast"/>
        </w:trPr>
        <w:tc>
          <w:tcPr>
            <w:tcW w:w="903" w:type="pct"/>
            <w:gridSpan w:val="2"/>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230D820">
            <w:pPr>
              <w:rPr>
                <w:rFonts w:hint="eastAsia" w:ascii="宋体" w:hAnsi="宋体" w:cs="宋体"/>
                <w:b/>
                <w:bCs/>
                <w:color w:val="auto"/>
                <w:szCs w:val="21"/>
              </w:rPr>
            </w:pPr>
          </w:p>
        </w:tc>
        <w:tc>
          <w:tcPr>
            <w:tcW w:w="277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B01BA0">
            <w:pPr>
              <w:rPr>
                <w:rFonts w:hint="eastAsia" w:ascii="宋体" w:hAnsi="宋体" w:cs="宋体"/>
                <w:b/>
                <w:bCs/>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5B737953">
            <w:pPr>
              <w:jc w:val="center"/>
              <w:rPr>
                <w:rFonts w:hint="eastAsia" w:ascii="宋体" w:hAnsi="宋体" w:cs="宋体"/>
                <w:b/>
                <w:bCs/>
                <w:color w:val="auto"/>
                <w:szCs w:val="21"/>
              </w:rPr>
            </w:pPr>
            <w:r>
              <w:rPr>
                <w:rFonts w:hint="eastAsia" w:ascii="宋体" w:hAnsi="宋体" w:cs="宋体"/>
                <w:b/>
                <w:bCs/>
                <w:color w:val="auto"/>
                <w:szCs w:val="21"/>
              </w:rPr>
              <w:t>男</w:t>
            </w:r>
          </w:p>
        </w:tc>
        <w:tc>
          <w:tcPr>
            <w:tcW w:w="379" w:type="pct"/>
            <w:tcBorders>
              <w:top w:val="nil"/>
              <w:left w:val="nil"/>
              <w:bottom w:val="single" w:color="auto" w:sz="4" w:space="0"/>
              <w:right w:val="single" w:color="auto" w:sz="4" w:space="0"/>
            </w:tcBorders>
            <w:shd w:val="clear" w:color="auto" w:fill="auto"/>
            <w:noWrap/>
            <w:vAlign w:val="center"/>
          </w:tcPr>
          <w:p w14:paraId="380EE7B3">
            <w:pPr>
              <w:jc w:val="center"/>
              <w:rPr>
                <w:rFonts w:hint="eastAsia" w:ascii="宋体" w:hAnsi="宋体" w:cs="宋体"/>
                <w:b/>
                <w:bCs/>
                <w:color w:val="auto"/>
                <w:szCs w:val="21"/>
              </w:rPr>
            </w:pPr>
            <w:r>
              <w:rPr>
                <w:rFonts w:hint="eastAsia" w:ascii="宋体" w:hAnsi="宋体" w:cs="宋体"/>
                <w:b/>
                <w:bCs/>
                <w:color w:val="auto"/>
                <w:szCs w:val="21"/>
              </w:rPr>
              <w:t>已婚女</w:t>
            </w:r>
          </w:p>
        </w:tc>
        <w:tc>
          <w:tcPr>
            <w:tcW w:w="438" w:type="pct"/>
            <w:tcBorders>
              <w:top w:val="nil"/>
              <w:left w:val="nil"/>
              <w:bottom w:val="single" w:color="auto" w:sz="4" w:space="0"/>
              <w:right w:val="single" w:color="auto" w:sz="4" w:space="0"/>
            </w:tcBorders>
            <w:shd w:val="clear" w:color="auto" w:fill="auto"/>
            <w:noWrap/>
            <w:vAlign w:val="center"/>
          </w:tcPr>
          <w:p w14:paraId="5523A65B">
            <w:pPr>
              <w:jc w:val="center"/>
              <w:rPr>
                <w:rFonts w:hint="eastAsia" w:ascii="宋体" w:hAnsi="宋体" w:cs="宋体"/>
                <w:b/>
                <w:bCs/>
                <w:color w:val="auto"/>
                <w:szCs w:val="21"/>
              </w:rPr>
            </w:pPr>
            <w:r>
              <w:rPr>
                <w:rFonts w:hint="eastAsia" w:ascii="宋体" w:hAnsi="宋体" w:cs="宋体"/>
                <w:b/>
                <w:bCs/>
                <w:color w:val="auto"/>
                <w:szCs w:val="21"/>
              </w:rPr>
              <w:t>未婚女</w:t>
            </w:r>
          </w:p>
        </w:tc>
      </w:tr>
      <w:tr w14:paraId="2F9DF52A">
        <w:tblPrEx>
          <w:tblCellMar>
            <w:top w:w="0" w:type="dxa"/>
            <w:left w:w="108" w:type="dxa"/>
            <w:bottom w:w="0" w:type="dxa"/>
            <w:right w:w="108" w:type="dxa"/>
          </w:tblCellMar>
        </w:tblPrEx>
        <w:trPr>
          <w:trHeight w:val="684"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900C158">
            <w:pPr>
              <w:jc w:val="center"/>
              <w:rPr>
                <w:rFonts w:hint="eastAsia" w:ascii="宋体" w:hAnsi="宋体" w:cs="宋体"/>
                <w:color w:val="auto"/>
                <w:szCs w:val="21"/>
              </w:rPr>
            </w:pPr>
            <w:r>
              <w:rPr>
                <w:rFonts w:hint="eastAsia" w:ascii="宋体" w:hAnsi="宋体" w:cs="宋体"/>
                <w:color w:val="auto"/>
                <w:szCs w:val="21"/>
              </w:rPr>
              <w:t>一般情况检查</w:t>
            </w:r>
          </w:p>
        </w:tc>
        <w:tc>
          <w:tcPr>
            <w:tcW w:w="2777" w:type="pct"/>
            <w:tcBorders>
              <w:top w:val="nil"/>
              <w:left w:val="nil"/>
              <w:bottom w:val="single" w:color="auto" w:sz="4" w:space="0"/>
              <w:right w:val="nil"/>
            </w:tcBorders>
            <w:shd w:val="clear" w:color="auto" w:fill="auto"/>
            <w:noWrap/>
            <w:vAlign w:val="center"/>
          </w:tcPr>
          <w:p w14:paraId="7ADF4731">
            <w:pPr>
              <w:rPr>
                <w:rFonts w:hint="eastAsia" w:ascii="宋体" w:hAnsi="宋体" w:cs="宋体"/>
                <w:color w:val="auto"/>
                <w:szCs w:val="21"/>
              </w:rPr>
            </w:pPr>
            <w:r>
              <w:rPr>
                <w:rFonts w:hint="eastAsia" w:ascii="宋体" w:hAnsi="宋体" w:cs="宋体"/>
                <w:color w:val="auto"/>
                <w:szCs w:val="21"/>
              </w:rPr>
              <w:t>了解有无高血压及超重、肥胖等</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3AD7F74D">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1E349657">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428CE051">
            <w:pPr>
              <w:jc w:val="center"/>
              <w:rPr>
                <w:rFonts w:hint="eastAsia" w:ascii="宋体" w:hAnsi="宋体" w:cs="宋体"/>
                <w:color w:val="auto"/>
                <w:szCs w:val="21"/>
              </w:rPr>
            </w:pPr>
            <w:r>
              <w:rPr>
                <w:rFonts w:hint="eastAsia" w:ascii="宋体" w:hAnsi="宋体" w:cs="宋体"/>
                <w:color w:val="auto"/>
                <w:szCs w:val="21"/>
              </w:rPr>
              <w:t>√</w:t>
            </w:r>
          </w:p>
        </w:tc>
      </w:tr>
      <w:tr w14:paraId="3E42A05F">
        <w:tblPrEx>
          <w:tblCellMar>
            <w:top w:w="0" w:type="dxa"/>
            <w:left w:w="108" w:type="dxa"/>
            <w:bottom w:w="0" w:type="dxa"/>
            <w:right w:w="108" w:type="dxa"/>
          </w:tblCellMar>
        </w:tblPrEx>
        <w:trPr>
          <w:trHeight w:val="594"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999B6E0">
            <w:pPr>
              <w:jc w:val="center"/>
              <w:rPr>
                <w:rFonts w:hint="eastAsia" w:ascii="宋体" w:hAnsi="宋体" w:cs="宋体"/>
                <w:color w:val="auto"/>
                <w:szCs w:val="21"/>
              </w:rPr>
            </w:pPr>
            <w:r>
              <w:rPr>
                <w:rFonts w:hint="eastAsia" w:ascii="宋体" w:hAnsi="宋体" w:cs="宋体"/>
                <w:color w:val="auto"/>
                <w:szCs w:val="21"/>
              </w:rPr>
              <w:t>内科检查</w:t>
            </w:r>
          </w:p>
        </w:tc>
        <w:tc>
          <w:tcPr>
            <w:tcW w:w="2777" w:type="pct"/>
            <w:tcBorders>
              <w:top w:val="nil"/>
              <w:left w:val="nil"/>
              <w:bottom w:val="single" w:color="auto" w:sz="4" w:space="0"/>
              <w:right w:val="nil"/>
            </w:tcBorders>
            <w:shd w:val="clear" w:color="auto" w:fill="auto"/>
            <w:noWrap/>
            <w:vAlign w:val="center"/>
          </w:tcPr>
          <w:p w14:paraId="05EFFD18">
            <w:pPr>
              <w:rPr>
                <w:rFonts w:hint="eastAsia" w:ascii="宋体" w:hAnsi="宋体" w:cs="宋体"/>
                <w:color w:val="auto"/>
                <w:szCs w:val="21"/>
              </w:rPr>
            </w:pPr>
            <w:r>
              <w:rPr>
                <w:rFonts w:hint="eastAsia" w:ascii="宋体" w:hAnsi="宋体" w:cs="宋体"/>
                <w:color w:val="auto"/>
                <w:szCs w:val="21"/>
              </w:rPr>
              <w:t>检查心、肺、肝脏、脾脏等</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3B6E186A">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511A1B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1939BE7">
            <w:pPr>
              <w:jc w:val="center"/>
              <w:rPr>
                <w:rFonts w:hint="eastAsia" w:ascii="宋体" w:hAnsi="宋体" w:cs="宋体"/>
                <w:color w:val="auto"/>
                <w:szCs w:val="21"/>
              </w:rPr>
            </w:pPr>
            <w:r>
              <w:rPr>
                <w:rFonts w:hint="eastAsia" w:ascii="宋体" w:hAnsi="宋体" w:cs="宋体"/>
                <w:color w:val="auto"/>
                <w:szCs w:val="21"/>
              </w:rPr>
              <w:t>√</w:t>
            </w:r>
          </w:p>
        </w:tc>
      </w:tr>
      <w:tr w14:paraId="5092EA70">
        <w:tblPrEx>
          <w:tblCellMar>
            <w:top w:w="0" w:type="dxa"/>
            <w:left w:w="108" w:type="dxa"/>
            <w:bottom w:w="0" w:type="dxa"/>
            <w:right w:w="108" w:type="dxa"/>
          </w:tblCellMar>
        </w:tblPrEx>
        <w:trPr>
          <w:trHeight w:val="924"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BB98606">
            <w:pPr>
              <w:jc w:val="center"/>
              <w:rPr>
                <w:rFonts w:hint="eastAsia" w:ascii="宋体" w:hAnsi="宋体" w:cs="宋体"/>
                <w:color w:val="auto"/>
                <w:szCs w:val="21"/>
              </w:rPr>
            </w:pPr>
            <w:r>
              <w:rPr>
                <w:rFonts w:hint="eastAsia" w:ascii="宋体" w:hAnsi="宋体" w:cs="宋体"/>
                <w:color w:val="auto"/>
                <w:szCs w:val="21"/>
              </w:rPr>
              <w:t>外科检查</w:t>
            </w:r>
          </w:p>
        </w:tc>
        <w:tc>
          <w:tcPr>
            <w:tcW w:w="2777" w:type="pct"/>
            <w:tcBorders>
              <w:top w:val="nil"/>
              <w:left w:val="nil"/>
              <w:bottom w:val="single" w:color="auto" w:sz="4" w:space="0"/>
              <w:right w:val="nil"/>
            </w:tcBorders>
            <w:shd w:val="clear" w:color="auto" w:fill="auto"/>
            <w:noWrap/>
            <w:vAlign w:val="center"/>
          </w:tcPr>
          <w:p w14:paraId="45CA455D">
            <w:pPr>
              <w:rPr>
                <w:rFonts w:hint="eastAsia" w:ascii="宋体" w:hAnsi="宋体" w:cs="宋体"/>
                <w:color w:val="auto"/>
                <w:szCs w:val="21"/>
              </w:rPr>
            </w:pPr>
            <w:r>
              <w:rPr>
                <w:rFonts w:hint="eastAsia" w:ascii="宋体" w:hAnsi="宋体" w:cs="宋体"/>
                <w:color w:val="auto"/>
                <w:szCs w:val="21"/>
              </w:rPr>
              <w:t>浅表淋巴结、甲状腺、乳房触诊，检查四肢脊柱活动情况，肛门指诊（备选）等</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50781F8A">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083E9F39">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18772D9">
            <w:pPr>
              <w:jc w:val="center"/>
              <w:rPr>
                <w:rFonts w:hint="eastAsia" w:ascii="宋体" w:hAnsi="宋体" w:cs="宋体"/>
                <w:color w:val="auto"/>
                <w:szCs w:val="21"/>
              </w:rPr>
            </w:pPr>
            <w:r>
              <w:rPr>
                <w:rFonts w:hint="eastAsia" w:ascii="宋体" w:hAnsi="宋体" w:cs="宋体"/>
                <w:color w:val="auto"/>
                <w:szCs w:val="21"/>
              </w:rPr>
              <w:t>√</w:t>
            </w:r>
          </w:p>
        </w:tc>
      </w:tr>
      <w:tr w14:paraId="62636150">
        <w:tblPrEx>
          <w:tblCellMar>
            <w:top w:w="0" w:type="dxa"/>
            <w:left w:w="108" w:type="dxa"/>
            <w:bottom w:w="0" w:type="dxa"/>
            <w:right w:w="108" w:type="dxa"/>
          </w:tblCellMar>
        </w:tblPrEx>
        <w:trPr>
          <w:trHeight w:val="714"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F0953C6">
            <w:pPr>
              <w:jc w:val="center"/>
              <w:rPr>
                <w:rFonts w:hint="eastAsia" w:ascii="宋体" w:hAnsi="宋体" w:cs="宋体"/>
                <w:color w:val="auto"/>
                <w:szCs w:val="21"/>
              </w:rPr>
            </w:pPr>
            <w:r>
              <w:rPr>
                <w:rFonts w:hint="eastAsia" w:ascii="宋体" w:hAnsi="宋体" w:cs="宋体"/>
                <w:color w:val="auto"/>
                <w:szCs w:val="21"/>
              </w:rPr>
              <w:t>耳鼻喉科检查</w:t>
            </w:r>
          </w:p>
        </w:tc>
        <w:tc>
          <w:tcPr>
            <w:tcW w:w="2777" w:type="pct"/>
            <w:tcBorders>
              <w:top w:val="nil"/>
              <w:left w:val="nil"/>
              <w:bottom w:val="single" w:color="auto" w:sz="4" w:space="0"/>
              <w:right w:val="single" w:color="auto" w:sz="4" w:space="0"/>
            </w:tcBorders>
            <w:shd w:val="clear" w:color="auto" w:fill="auto"/>
            <w:noWrap/>
            <w:vAlign w:val="center"/>
          </w:tcPr>
          <w:p w14:paraId="4B1756B5">
            <w:pPr>
              <w:rPr>
                <w:rFonts w:hint="eastAsia" w:ascii="宋体" w:hAnsi="宋体" w:cs="宋体"/>
                <w:color w:val="auto"/>
                <w:szCs w:val="21"/>
              </w:rPr>
            </w:pPr>
            <w:r>
              <w:rPr>
                <w:rFonts w:hint="eastAsia" w:ascii="宋体" w:hAnsi="宋体" w:cs="宋体"/>
                <w:color w:val="auto"/>
                <w:szCs w:val="21"/>
              </w:rPr>
              <w:t>检查外耳道、鼓膜、鼻腔、鼻窦、咽喉、扁桃体等</w:t>
            </w:r>
          </w:p>
        </w:tc>
        <w:tc>
          <w:tcPr>
            <w:tcW w:w="500" w:type="pct"/>
            <w:tcBorders>
              <w:top w:val="nil"/>
              <w:left w:val="nil"/>
              <w:bottom w:val="single" w:color="auto" w:sz="4" w:space="0"/>
              <w:right w:val="single" w:color="auto" w:sz="4" w:space="0"/>
            </w:tcBorders>
            <w:shd w:val="clear" w:color="auto" w:fill="auto"/>
            <w:noWrap/>
            <w:vAlign w:val="center"/>
          </w:tcPr>
          <w:p w14:paraId="4843F938">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7749B711">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4A4BA8F7">
            <w:pPr>
              <w:jc w:val="center"/>
              <w:rPr>
                <w:rFonts w:hint="eastAsia" w:ascii="宋体" w:hAnsi="宋体" w:cs="宋体"/>
                <w:color w:val="auto"/>
                <w:szCs w:val="21"/>
              </w:rPr>
            </w:pPr>
            <w:r>
              <w:rPr>
                <w:rFonts w:hint="eastAsia" w:ascii="宋体" w:hAnsi="宋体" w:cs="宋体"/>
                <w:color w:val="auto"/>
                <w:szCs w:val="21"/>
              </w:rPr>
              <w:t>√</w:t>
            </w:r>
          </w:p>
        </w:tc>
      </w:tr>
      <w:tr w14:paraId="1D94575A">
        <w:tblPrEx>
          <w:tblCellMar>
            <w:top w:w="0" w:type="dxa"/>
            <w:left w:w="108" w:type="dxa"/>
            <w:bottom w:w="0" w:type="dxa"/>
            <w:right w:w="108" w:type="dxa"/>
          </w:tblCellMar>
        </w:tblPrEx>
        <w:trPr>
          <w:trHeight w:val="759"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2D9B3FB">
            <w:pPr>
              <w:jc w:val="center"/>
              <w:rPr>
                <w:rFonts w:hint="eastAsia" w:ascii="宋体" w:hAnsi="宋体" w:cs="宋体"/>
                <w:color w:val="auto"/>
                <w:szCs w:val="21"/>
              </w:rPr>
            </w:pPr>
            <w:r>
              <w:rPr>
                <w:rFonts w:hint="eastAsia" w:ascii="宋体" w:hAnsi="宋体" w:cs="宋体"/>
                <w:color w:val="auto"/>
                <w:szCs w:val="21"/>
              </w:rPr>
              <w:t>眼科检查</w:t>
            </w:r>
          </w:p>
        </w:tc>
        <w:tc>
          <w:tcPr>
            <w:tcW w:w="2777" w:type="pct"/>
            <w:tcBorders>
              <w:top w:val="nil"/>
              <w:left w:val="nil"/>
              <w:bottom w:val="single" w:color="auto" w:sz="4" w:space="0"/>
              <w:right w:val="single" w:color="auto" w:sz="4" w:space="0"/>
            </w:tcBorders>
            <w:shd w:val="clear" w:color="auto" w:fill="auto"/>
            <w:noWrap/>
            <w:vAlign w:val="center"/>
          </w:tcPr>
          <w:p w14:paraId="13272DAE">
            <w:pPr>
              <w:rPr>
                <w:rFonts w:hint="eastAsia" w:ascii="宋体" w:hAnsi="宋体" w:cs="宋体"/>
                <w:color w:val="auto"/>
                <w:szCs w:val="21"/>
              </w:rPr>
            </w:pPr>
            <w:r>
              <w:rPr>
                <w:rFonts w:hint="eastAsia" w:ascii="宋体" w:hAnsi="宋体" w:cs="宋体"/>
                <w:color w:val="auto"/>
                <w:szCs w:val="21"/>
              </w:rPr>
              <w:t>检查视力、角膜、眼底等，以及有无白内障等病变</w:t>
            </w:r>
          </w:p>
        </w:tc>
        <w:tc>
          <w:tcPr>
            <w:tcW w:w="500" w:type="pct"/>
            <w:tcBorders>
              <w:top w:val="nil"/>
              <w:left w:val="nil"/>
              <w:bottom w:val="single" w:color="auto" w:sz="4" w:space="0"/>
              <w:right w:val="single" w:color="auto" w:sz="4" w:space="0"/>
            </w:tcBorders>
            <w:shd w:val="clear" w:color="auto" w:fill="auto"/>
            <w:noWrap/>
            <w:vAlign w:val="center"/>
          </w:tcPr>
          <w:p w14:paraId="26AF81FD">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2821E7A">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9436986">
            <w:pPr>
              <w:jc w:val="center"/>
              <w:rPr>
                <w:rFonts w:hint="eastAsia" w:ascii="宋体" w:hAnsi="宋体" w:cs="宋体"/>
                <w:color w:val="auto"/>
                <w:szCs w:val="21"/>
              </w:rPr>
            </w:pPr>
            <w:r>
              <w:rPr>
                <w:rFonts w:hint="eastAsia" w:ascii="宋体" w:hAnsi="宋体" w:cs="宋体"/>
                <w:color w:val="auto"/>
                <w:szCs w:val="21"/>
              </w:rPr>
              <w:t>√</w:t>
            </w:r>
          </w:p>
        </w:tc>
      </w:tr>
      <w:tr w14:paraId="4A82E6E2">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F8323A5">
            <w:pPr>
              <w:jc w:val="center"/>
              <w:rPr>
                <w:rFonts w:hint="eastAsia" w:ascii="宋体" w:hAnsi="宋体" w:cs="宋体"/>
                <w:color w:val="auto"/>
                <w:szCs w:val="21"/>
              </w:rPr>
            </w:pPr>
            <w:r>
              <w:rPr>
                <w:rFonts w:hint="eastAsia" w:ascii="宋体" w:hAnsi="宋体" w:cs="宋体"/>
                <w:color w:val="auto"/>
                <w:szCs w:val="21"/>
              </w:rPr>
              <w:t>日本佳能无接触眼底照相</w:t>
            </w:r>
          </w:p>
        </w:tc>
        <w:tc>
          <w:tcPr>
            <w:tcW w:w="2777" w:type="pct"/>
            <w:tcBorders>
              <w:top w:val="nil"/>
              <w:left w:val="nil"/>
              <w:bottom w:val="single" w:color="auto" w:sz="4" w:space="0"/>
              <w:right w:val="single" w:color="auto" w:sz="4" w:space="0"/>
            </w:tcBorders>
            <w:shd w:val="clear" w:color="auto" w:fill="auto"/>
            <w:noWrap/>
            <w:vAlign w:val="center"/>
          </w:tcPr>
          <w:p w14:paraId="0BA1CEBB">
            <w:pPr>
              <w:rPr>
                <w:rFonts w:hint="eastAsia" w:ascii="宋体" w:hAnsi="宋体" w:cs="宋体"/>
                <w:color w:val="auto"/>
                <w:szCs w:val="21"/>
              </w:rPr>
            </w:pPr>
            <w:r>
              <w:rPr>
                <w:rFonts w:hint="eastAsia" w:ascii="宋体" w:hAnsi="宋体" w:cs="宋体"/>
                <w:color w:val="auto"/>
                <w:szCs w:val="21"/>
              </w:rPr>
              <w:t>许多全身性疾病如高血压，动脉硬化，糖尿病会产生血管性病变，眼底视网膜照相对病程的研判及治疗提供重要参考。</w:t>
            </w:r>
          </w:p>
        </w:tc>
        <w:tc>
          <w:tcPr>
            <w:tcW w:w="500" w:type="pct"/>
            <w:tcBorders>
              <w:top w:val="nil"/>
              <w:left w:val="nil"/>
              <w:bottom w:val="single" w:color="auto" w:sz="4" w:space="0"/>
              <w:right w:val="single" w:color="auto" w:sz="4" w:space="0"/>
            </w:tcBorders>
            <w:shd w:val="clear" w:color="auto" w:fill="auto"/>
            <w:noWrap/>
            <w:vAlign w:val="center"/>
          </w:tcPr>
          <w:p w14:paraId="093C2FDD">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0B13DD5F">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0B5A852">
            <w:pPr>
              <w:jc w:val="center"/>
              <w:rPr>
                <w:rFonts w:hint="eastAsia" w:ascii="宋体" w:hAnsi="宋体" w:cs="宋体"/>
                <w:color w:val="auto"/>
                <w:szCs w:val="21"/>
              </w:rPr>
            </w:pPr>
            <w:r>
              <w:rPr>
                <w:rFonts w:hint="eastAsia" w:ascii="宋体" w:hAnsi="宋体" w:cs="宋体"/>
                <w:color w:val="auto"/>
                <w:szCs w:val="21"/>
              </w:rPr>
              <w:t>√</w:t>
            </w:r>
          </w:p>
        </w:tc>
      </w:tr>
      <w:tr w14:paraId="3B1CF084">
        <w:tblPrEx>
          <w:tblCellMar>
            <w:top w:w="0" w:type="dxa"/>
            <w:left w:w="108" w:type="dxa"/>
            <w:bottom w:w="0" w:type="dxa"/>
            <w:right w:w="108" w:type="dxa"/>
          </w:tblCellMar>
        </w:tblPrEx>
        <w:trPr>
          <w:trHeight w:val="507"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D4BF20B">
            <w:pPr>
              <w:jc w:val="center"/>
              <w:rPr>
                <w:rFonts w:hint="eastAsia" w:ascii="宋体" w:hAnsi="宋体" w:cs="宋体"/>
                <w:color w:val="auto"/>
                <w:szCs w:val="21"/>
              </w:rPr>
            </w:pPr>
            <w:r>
              <w:rPr>
                <w:rFonts w:hint="eastAsia" w:ascii="宋体" w:hAnsi="宋体" w:cs="宋体"/>
                <w:color w:val="auto"/>
                <w:szCs w:val="21"/>
              </w:rPr>
              <w:t>口腔科检查</w:t>
            </w:r>
          </w:p>
        </w:tc>
        <w:tc>
          <w:tcPr>
            <w:tcW w:w="2777" w:type="pct"/>
            <w:tcBorders>
              <w:top w:val="nil"/>
              <w:left w:val="nil"/>
              <w:bottom w:val="single" w:color="auto" w:sz="4" w:space="0"/>
              <w:right w:val="nil"/>
            </w:tcBorders>
            <w:shd w:val="clear" w:color="auto" w:fill="auto"/>
            <w:noWrap/>
            <w:vAlign w:val="center"/>
          </w:tcPr>
          <w:p w14:paraId="6345352B">
            <w:pPr>
              <w:rPr>
                <w:rFonts w:hint="eastAsia" w:ascii="宋体" w:hAnsi="宋体" w:cs="宋体"/>
                <w:color w:val="auto"/>
                <w:szCs w:val="21"/>
              </w:rPr>
            </w:pPr>
            <w:r>
              <w:rPr>
                <w:rFonts w:hint="eastAsia" w:ascii="宋体" w:hAnsi="宋体" w:cs="宋体"/>
                <w:color w:val="auto"/>
                <w:szCs w:val="21"/>
              </w:rPr>
              <w:t>检查牙齿、舌、颞颌关节、涎腺等</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1E5D9C0A">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6C0F735F">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2A826945">
            <w:pPr>
              <w:jc w:val="center"/>
              <w:rPr>
                <w:rFonts w:hint="eastAsia" w:ascii="宋体" w:hAnsi="宋体" w:cs="宋体"/>
                <w:color w:val="auto"/>
                <w:szCs w:val="21"/>
              </w:rPr>
            </w:pPr>
            <w:r>
              <w:rPr>
                <w:rFonts w:hint="eastAsia" w:ascii="宋体" w:hAnsi="宋体" w:cs="宋体"/>
                <w:color w:val="auto"/>
                <w:szCs w:val="21"/>
              </w:rPr>
              <w:t>√</w:t>
            </w:r>
          </w:p>
        </w:tc>
      </w:tr>
      <w:tr w14:paraId="3ED12FAB">
        <w:tblPrEx>
          <w:tblCellMar>
            <w:top w:w="0" w:type="dxa"/>
            <w:left w:w="108" w:type="dxa"/>
            <w:bottom w:w="0" w:type="dxa"/>
            <w:right w:w="108" w:type="dxa"/>
          </w:tblCellMar>
        </w:tblPrEx>
        <w:trPr>
          <w:trHeight w:val="270" w:hRule="atLeast"/>
        </w:trPr>
        <w:tc>
          <w:tcPr>
            <w:tcW w:w="407" w:type="pct"/>
            <w:vMerge w:val="restart"/>
            <w:tcBorders>
              <w:top w:val="nil"/>
              <w:left w:val="single" w:color="auto" w:sz="4" w:space="0"/>
              <w:bottom w:val="nil"/>
              <w:right w:val="single" w:color="auto" w:sz="4" w:space="0"/>
            </w:tcBorders>
            <w:shd w:val="clear" w:color="auto" w:fill="auto"/>
            <w:noWrap/>
            <w:vAlign w:val="center"/>
          </w:tcPr>
          <w:p w14:paraId="189AB29A">
            <w:pPr>
              <w:jc w:val="center"/>
              <w:rPr>
                <w:rFonts w:hint="eastAsia" w:ascii="宋体" w:hAnsi="宋体" w:cs="宋体"/>
                <w:color w:val="auto"/>
                <w:szCs w:val="21"/>
              </w:rPr>
            </w:pPr>
            <w:r>
              <w:rPr>
                <w:rFonts w:hint="eastAsia" w:ascii="宋体" w:hAnsi="宋体" w:cs="宋体"/>
                <w:color w:val="auto"/>
                <w:szCs w:val="21"/>
              </w:rPr>
              <w:t>肝 功 能  7  项</w:t>
            </w:r>
          </w:p>
        </w:tc>
        <w:tc>
          <w:tcPr>
            <w:tcW w:w="495" w:type="pct"/>
            <w:tcBorders>
              <w:top w:val="nil"/>
              <w:left w:val="nil"/>
              <w:bottom w:val="single" w:color="auto" w:sz="4" w:space="0"/>
              <w:right w:val="single" w:color="auto" w:sz="4" w:space="0"/>
            </w:tcBorders>
            <w:shd w:val="clear" w:color="auto" w:fill="auto"/>
            <w:noWrap/>
            <w:vAlign w:val="center"/>
          </w:tcPr>
          <w:p w14:paraId="3349CAAD">
            <w:pPr>
              <w:rPr>
                <w:rFonts w:hint="eastAsia" w:ascii="宋体" w:hAnsi="宋体" w:cs="宋体"/>
                <w:color w:val="auto"/>
                <w:szCs w:val="21"/>
              </w:rPr>
            </w:pPr>
            <w:r>
              <w:rPr>
                <w:rFonts w:hint="eastAsia" w:ascii="宋体" w:hAnsi="宋体" w:cs="宋体"/>
                <w:color w:val="auto"/>
                <w:szCs w:val="21"/>
              </w:rPr>
              <w:t>总蛋白</w:t>
            </w:r>
          </w:p>
        </w:tc>
        <w:tc>
          <w:tcPr>
            <w:tcW w:w="2777" w:type="pct"/>
            <w:vMerge w:val="restart"/>
            <w:tcBorders>
              <w:top w:val="nil"/>
              <w:left w:val="single" w:color="auto" w:sz="4" w:space="0"/>
              <w:right w:val="single" w:color="auto" w:sz="4" w:space="0"/>
            </w:tcBorders>
            <w:shd w:val="clear" w:color="auto" w:fill="auto"/>
            <w:noWrap/>
            <w:vAlign w:val="center"/>
          </w:tcPr>
          <w:p w14:paraId="21265937">
            <w:pPr>
              <w:rPr>
                <w:rFonts w:hint="eastAsia" w:ascii="宋体" w:hAnsi="宋体" w:cs="宋体"/>
                <w:color w:val="auto"/>
                <w:szCs w:val="21"/>
              </w:rPr>
            </w:pPr>
            <w:r>
              <w:rPr>
                <w:rFonts w:hint="eastAsia" w:ascii="宋体" w:hAnsi="宋体" w:cs="宋体"/>
                <w:color w:val="auto"/>
                <w:szCs w:val="21"/>
              </w:rPr>
              <w:t>肝脏合成指标，用于辅助诊断急慢性肝病、营养或吸收不良、消化道疾病</w:t>
            </w:r>
          </w:p>
        </w:tc>
        <w:tc>
          <w:tcPr>
            <w:tcW w:w="500" w:type="pct"/>
            <w:tcBorders>
              <w:top w:val="nil"/>
              <w:left w:val="nil"/>
              <w:bottom w:val="single" w:color="auto" w:sz="4" w:space="0"/>
              <w:right w:val="single" w:color="auto" w:sz="4" w:space="0"/>
            </w:tcBorders>
            <w:shd w:val="clear" w:color="auto" w:fill="auto"/>
            <w:noWrap/>
            <w:vAlign w:val="center"/>
          </w:tcPr>
          <w:p w14:paraId="36D0AD96">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0AE5B88">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451A2E7C">
            <w:pPr>
              <w:jc w:val="center"/>
              <w:rPr>
                <w:rFonts w:hint="eastAsia" w:ascii="宋体" w:hAnsi="宋体" w:cs="宋体"/>
                <w:color w:val="auto"/>
                <w:szCs w:val="21"/>
              </w:rPr>
            </w:pPr>
            <w:r>
              <w:rPr>
                <w:rFonts w:hint="eastAsia" w:ascii="宋体" w:hAnsi="宋体" w:cs="宋体"/>
                <w:color w:val="auto"/>
                <w:szCs w:val="21"/>
              </w:rPr>
              <w:t>√</w:t>
            </w:r>
          </w:p>
        </w:tc>
      </w:tr>
      <w:tr w14:paraId="44BD33C2">
        <w:tblPrEx>
          <w:tblCellMar>
            <w:top w:w="0" w:type="dxa"/>
            <w:left w:w="108" w:type="dxa"/>
            <w:bottom w:w="0" w:type="dxa"/>
            <w:right w:w="108" w:type="dxa"/>
          </w:tblCellMar>
        </w:tblPrEx>
        <w:trPr>
          <w:trHeight w:val="270"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53A548EB">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50792421">
            <w:pPr>
              <w:rPr>
                <w:rFonts w:hint="eastAsia" w:ascii="宋体" w:hAnsi="宋体" w:cs="宋体"/>
                <w:color w:val="auto"/>
                <w:szCs w:val="21"/>
              </w:rPr>
            </w:pPr>
            <w:r>
              <w:rPr>
                <w:rFonts w:hint="eastAsia" w:ascii="宋体" w:hAnsi="宋体" w:cs="宋体"/>
                <w:color w:val="auto"/>
                <w:szCs w:val="21"/>
              </w:rPr>
              <w:t>白蛋白</w:t>
            </w:r>
          </w:p>
        </w:tc>
        <w:tc>
          <w:tcPr>
            <w:tcW w:w="2777" w:type="pct"/>
            <w:vMerge w:val="continue"/>
            <w:tcBorders>
              <w:left w:val="single" w:color="auto" w:sz="4" w:space="0"/>
              <w:bottom w:val="single" w:color="000000" w:sz="4" w:space="0"/>
              <w:right w:val="single" w:color="auto" w:sz="4" w:space="0"/>
            </w:tcBorders>
            <w:shd w:val="clear" w:color="auto" w:fill="auto"/>
            <w:noWrap/>
            <w:vAlign w:val="center"/>
          </w:tcPr>
          <w:p w14:paraId="1CCC0334">
            <w:pPr>
              <w:rPr>
                <w:rFonts w:hint="eastAsia" w:ascii="宋体" w:hAnsi="宋体" w:cs="宋体"/>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7955D770">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7012CD60">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1AC7004">
            <w:pPr>
              <w:jc w:val="center"/>
              <w:rPr>
                <w:rFonts w:hint="eastAsia" w:ascii="宋体" w:hAnsi="宋体" w:cs="宋体"/>
                <w:color w:val="auto"/>
                <w:szCs w:val="21"/>
              </w:rPr>
            </w:pPr>
            <w:r>
              <w:rPr>
                <w:rFonts w:hint="eastAsia" w:ascii="宋体" w:hAnsi="宋体" w:cs="宋体"/>
                <w:color w:val="auto"/>
                <w:szCs w:val="21"/>
              </w:rPr>
              <w:t>√</w:t>
            </w:r>
          </w:p>
        </w:tc>
      </w:tr>
      <w:tr w14:paraId="221ABB61">
        <w:tblPrEx>
          <w:tblCellMar>
            <w:top w:w="0" w:type="dxa"/>
            <w:left w:w="108" w:type="dxa"/>
            <w:bottom w:w="0" w:type="dxa"/>
            <w:right w:w="108" w:type="dxa"/>
          </w:tblCellMar>
        </w:tblPrEx>
        <w:trPr>
          <w:trHeight w:val="270"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7D4FB630">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4D316974">
            <w:pPr>
              <w:rPr>
                <w:rFonts w:hint="eastAsia" w:ascii="宋体" w:hAnsi="宋体" w:cs="宋体"/>
                <w:color w:val="auto"/>
                <w:szCs w:val="21"/>
              </w:rPr>
            </w:pPr>
            <w:r>
              <w:rPr>
                <w:rFonts w:hint="eastAsia" w:ascii="宋体" w:hAnsi="宋体" w:cs="宋体"/>
                <w:color w:val="auto"/>
                <w:szCs w:val="21"/>
              </w:rPr>
              <w:t>总胆红素</w:t>
            </w:r>
          </w:p>
        </w:tc>
        <w:tc>
          <w:tcPr>
            <w:tcW w:w="2777" w:type="pct"/>
            <w:tcBorders>
              <w:top w:val="nil"/>
              <w:left w:val="nil"/>
              <w:bottom w:val="single" w:color="auto" w:sz="4" w:space="0"/>
              <w:right w:val="single" w:color="auto" w:sz="4" w:space="0"/>
            </w:tcBorders>
            <w:shd w:val="clear" w:color="auto" w:fill="auto"/>
            <w:noWrap/>
            <w:vAlign w:val="center"/>
          </w:tcPr>
          <w:p w14:paraId="57A6C6CF">
            <w:pPr>
              <w:rPr>
                <w:rFonts w:hint="eastAsia" w:ascii="宋体" w:hAnsi="宋体" w:cs="宋体"/>
                <w:color w:val="auto"/>
                <w:szCs w:val="21"/>
              </w:rPr>
            </w:pPr>
            <w:r>
              <w:rPr>
                <w:rFonts w:hint="eastAsia" w:ascii="宋体" w:hAnsi="宋体" w:cs="宋体"/>
                <w:color w:val="auto"/>
                <w:szCs w:val="21"/>
              </w:rPr>
              <w:t>肝脏分泌排泄功能的指标，用于黄疸的诊断和鉴别</w:t>
            </w:r>
          </w:p>
        </w:tc>
        <w:tc>
          <w:tcPr>
            <w:tcW w:w="500" w:type="pct"/>
            <w:tcBorders>
              <w:top w:val="nil"/>
              <w:left w:val="nil"/>
              <w:bottom w:val="single" w:color="auto" w:sz="4" w:space="0"/>
              <w:right w:val="single" w:color="auto" w:sz="4" w:space="0"/>
            </w:tcBorders>
            <w:shd w:val="clear" w:color="auto" w:fill="auto"/>
            <w:noWrap/>
            <w:vAlign w:val="center"/>
          </w:tcPr>
          <w:p w14:paraId="37A9724A">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3ED9194">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5C121BB">
            <w:pPr>
              <w:jc w:val="center"/>
              <w:rPr>
                <w:rFonts w:hint="eastAsia" w:ascii="宋体" w:hAnsi="宋体" w:cs="宋体"/>
                <w:color w:val="auto"/>
                <w:szCs w:val="21"/>
              </w:rPr>
            </w:pPr>
            <w:r>
              <w:rPr>
                <w:rFonts w:hint="eastAsia" w:ascii="宋体" w:hAnsi="宋体" w:cs="宋体"/>
                <w:color w:val="auto"/>
                <w:szCs w:val="21"/>
              </w:rPr>
              <w:t>√</w:t>
            </w:r>
          </w:p>
        </w:tc>
      </w:tr>
      <w:tr w14:paraId="3187BE17">
        <w:tblPrEx>
          <w:tblCellMar>
            <w:top w:w="0" w:type="dxa"/>
            <w:left w:w="108" w:type="dxa"/>
            <w:bottom w:w="0" w:type="dxa"/>
            <w:right w:w="108" w:type="dxa"/>
          </w:tblCellMar>
        </w:tblPrEx>
        <w:trPr>
          <w:trHeight w:val="270"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3F09FFE2">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1292E857">
            <w:pPr>
              <w:rPr>
                <w:rFonts w:hint="eastAsia" w:ascii="宋体" w:hAnsi="宋体" w:cs="宋体"/>
                <w:color w:val="auto"/>
                <w:szCs w:val="21"/>
              </w:rPr>
            </w:pPr>
            <w:r>
              <w:rPr>
                <w:rFonts w:hint="eastAsia" w:ascii="宋体" w:hAnsi="宋体" w:cs="宋体"/>
                <w:color w:val="auto"/>
                <w:szCs w:val="21"/>
              </w:rPr>
              <w:t>丙氨酸氨基转移酶</w:t>
            </w:r>
          </w:p>
        </w:tc>
        <w:tc>
          <w:tcPr>
            <w:tcW w:w="2777" w:type="pct"/>
            <w:tcBorders>
              <w:top w:val="nil"/>
              <w:left w:val="nil"/>
              <w:bottom w:val="single" w:color="auto" w:sz="4" w:space="0"/>
              <w:right w:val="single" w:color="auto" w:sz="4" w:space="0"/>
            </w:tcBorders>
            <w:shd w:val="clear" w:color="auto" w:fill="auto"/>
            <w:noWrap/>
          </w:tcPr>
          <w:p w14:paraId="2CC1EA77">
            <w:pPr>
              <w:ind w:firstLine="640"/>
              <w:rPr>
                <w:rFonts w:hint="eastAsia" w:ascii="宋体" w:hAnsi="宋体" w:cs="宋体"/>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5276C34F">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5E4E129">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6C0CBC33">
            <w:pPr>
              <w:jc w:val="center"/>
              <w:rPr>
                <w:rFonts w:hint="eastAsia" w:ascii="宋体" w:hAnsi="宋体" w:cs="宋体"/>
                <w:color w:val="auto"/>
                <w:szCs w:val="21"/>
              </w:rPr>
            </w:pPr>
            <w:r>
              <w:rPr>
                <w:rFonts w:hint="eastAsia" w:ascii="宋体" w:hAnsi="宋体" w:cs="宋体"/>
                <w:color w:val="auto"/>
                <w:szCs w:val="21"/>
              </w:rPr>
              <w:t>√</w:t>
            </w:r>
          </w:p>
        </w:tc>
      </w:tr>
      <w:tr w14:paraId="168A94DF">
        <w:tblPrEx>
          <w:tblCellMar>
            <w:top w:w="0" w:type="dxa"/>
            <w:left w:w="108" w:type="dxa"/>
            <w:bottom w:w="0" w:type="dxa"/>
            <w:right w:w="108" w:type="dxa"/>
          </w:tblCellMar>
        </w:tblPrEx>
        <w:trPr>
          <w:trHeight w:val="270"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39C55978">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DAFE7">
            <w:pPr>
              <w:rPr>
                <w:rFonts w:hint="eastAsia" w:ascii="宋体" w:hAnsi="宋体" w:cs="宋体"/>
                <w:color w:val="auto"/>
                <w:szCs w:val="21"/>
              </w:rPr>
            </w:pPr>
            <w:r>
              <w:rPr>
                <w:rFonts w:hint="eastAsia" w:ascii="宋体" w:hAnsi="宋体" w:cs="宋体"/>
                <w:color w:val="auto"/>
                <w:szCs w:val="21"/>
              </w:rPr>
              <w:t>γ-谷氨酰基转移酶</w:t>
            </w:r>
          </w:p>
        </w:tc>
        <w:tc>
          <w:tcPr>
            <w:tcW w:w="2777" w:type="pct"/>
            <w:tcBorders>
              <w:top w:val="single" w:color="auto" w:sz="4" w:space="0"/>
              <w:left w:val="nil"/>
              <w:bottom w:val="single" w:color="auto" w:sz="4" w:space="0"/>
              <w:right w:val="single" w:color="auto" w:sz="4" w:space="0"/>
            </w:tcBorders>
            <w:shd w:val="clear" w:color="auto" w:fill="auto"/>
            <w:noWrap/>
          </w:tcPr>
          <w:p w14:paraId="60EA60B5">
            <w:pPr>
              <w:ind w:firstLine="440"/>
              <w:rPr>
                <w:rFonts w:hint="eastAsia" w:ascii="宋体" w:hAnsi="宋体" w:cs="宋体"/>
                <w:color w:val="auto"/>
                <w:szCs w:val="21"/>
              </w:rPr>
            </w:pPr>
            <w:r>
              <w:rPr>
                <w:rFonts w:hint="eastAsia" w:ascii="宋体" w:hAnsi="宋体" w:cs="宋体"/>
                <w:color w:val="auto"/>
                <w:szCs w:val="21"/>
              </w:rPr>
              <w:t>肝脏疾病诊断指标，在体检中尤见酒精性肝损害造成的升高</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2733C5B6">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1681C762">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single" w:color="auto" w:sz="4" w:space="0"/>
              <w:left w:val="nil"/>
              <w:bottom w:val="single" w:color="auto" w:sz="4" w:space="0"/>
              <w:right w:val="single" w:color="auto" w:sz="4" w:space="0"/>
            </w:tcBorders>
            <w:shd w:val="clear" w:color="auto" w:fill="auto"/>
            <w:noWrap/>
            <w:vAlign w:val="center"/>
          </w:tcPr>
          <w:p w14:paraId="3BE6B0BC">
            <w:pPr>
              <w:jc w:val="center"/>
              <w:rPr>
                <w:rFonts w:hint="eastAsia" w:ascii="宋体" w:hAnsi="宋体" w:cs="宋体"/>
                <w:color w:val="auto"/>
                <w:szCs w:val="21"/>
              </w:rPr>
            </w:pPr>
            <w:r>
              <w:rPr>
                <w:rFonts w:hint="eastAsia" w:ascii="宋体" w:hAnsi="宋体" w:cs="宋体"/>
                <w:color w:val="auto"/>
                <w:szCs w:val="21"/>
              </w:rPr>
              <w:t>√</w:t>
            </w:r>
          </w:p>
        </w:tc>
      </w:tr>
      <w:tr w14:paraId="02D3AFCC">
        <w:tblPrEx>
          <w:tblCellMar>
            <w:top w:w="0" w:type="dxa"/>
            <w:left w:w="108" w:type="dxa"/>
            <w:bottom w:w="0" w:type="dxa"/>
            <w:right w:w="108" w:type="dxa"/>
          </w:tblCellMar>
        </w:tblPrEx>
        <w:trPr>
          <w:trHeight w:val="522"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50009CF6">
            <w:pPr>
              <w:rPr>
                <w:rFonts w:hint="eastAsia" w:ascii="宋体" w:hAnsi="宋体" w:cs="宋体"/>
                <w:color w:val="auto"/>
                <w:szCs w:val="21"/>
              </w:rPr>
            </w:pPr>
          </w:p>
        </w:tc>
        <w:tc>
          <w:tcPr>
            <w:tcW w:w="495" w:type="pct"/>
            <w:tcBorders>
              <w:top w:val="single" w:color="auto" w:sz="4" w:space="0"/>
              <w:left w:val="nil"/>
              <w:bottom w:val="single" w:color="auto" w:sz="4" w:space="0"/>
              <w:right w:val="nil"/>
            </w:tcBorders>
            <w:shd w:val="clear" w:color="auto" w:fill="auto"/>
            <w:noWrap/>
            <w:vAlign w:val="center"/>
          </w:tcPr>
          <w:p w14:paraId="0558318F">
            <w:pPr>
              <w:rPr>
                <w:rFonts w:hint="eastAsia" w:ascii="宋体" w:hAnsi="宋体" w:cs="宋体"/>
                <w:color w:val="auto"/>
                <w:szCs w:val="21"/>
              </w:rPr>
            </w:pPr>
            <w:r>
              <w:rPr>
                <w:rFonts w:hint="eastAsia" w:ascii="宋体" w:hAnsi="宋体" w:cs="宋体"/>
                <w:color w:val="auto"/>
                <w:szCs w:val="21"/>
              </w:rPr>
              <w:t>球蛋白</w:t>
            </w:r>
          </w:p>
        </w:tc>
        <w:tc>
          <w:tcPr>
            <w:tcW w:w="2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8A64C">
            <w:pPr>
              <w:rPr>
                <w:rFonts w:hint="eastAsia" w:ascii="宋体" w:hAnsi="宋体" w:cs="宋体"/>
                <w:color w:val="auto"/>
                <w:szCs w:val="21"/>
              </w:rPr>
            </w:pPr>
            <w:r>
              <w:rPr>
                <w:rFonts w:hint="eastAsia" w:ascii="宋体" w:hAnsi="宋体" w:cs="宋体"/>
                <w:color w:val="auto"/>
                <w:szCs w:val="21"/>
              </w:rPr>
              <w:t>增高：感染引起机体免疫反应增强；自身免疫性疾病时的机体免疫功能亢进</w:t>
            </w:r>
            <w:r>
              <w:rPr>
                <w:rFonts w:hint="eastAsia" w:ascii="宋体" w:hAnsi="宋体" w:cs="宋体"/>
                <w:color w:val="auto"/>
                <w:szCs w:val="21"/>
              </w:rPr>
              <w:br w:type="textWrapping"/>
            </w:r>
            <w:r>
              <w:rPr>
                <w:rFonts w:hint="eastAsia" w:ascii="宋体" w:hAnsi="宋体" w:cs="宋体"/>
                <w:color w:val="auto"/>
                <w:szCs w:val="21"/>
              </w:rPr>
              <w:t>降低：具有先天性免疫缺陷、后天性免疫缺陷的人及肝脏严重病变时候会出现球蛋白降低</w:t>
            </w:r>
          </w:p>
        </w:tc>
        <w:tc>
          <w:tcPr>
            <w:tcW w:w="500" w:type="pct"/>
            <w:tcBorders>
              <w:top w:val="single" w:color="auto" w:sz="4" w:space="0"/>
              <w:left w:val="nil"/>
              <w:bottom w:val="single" w:color="auto" w:sz="4" w:space="0"/>
              <w:right w:val="single" w:color="auto" w:sz="4" w:space="0"/>
            </w:tcBorders>
            <w:shd w:val="clear" w:color="auto" w:fill="auto"/>
            <w:noWrap/>
            <w:vAlign w:val="center"/>
          </w:tcPr>
          <w:p w14:paraId="0C9A5A8D">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272B0AD5">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single" w:color="auto" w:sz="4" w:space="0"/>
              <w:left w:val="nil"/>
              <w:bottom w:val="single" w:color="auto" w:sz="4" w:space="0"/>
              <w:right w:val="single" w:color="auto" w:sz="4" w:space="0"/>
            </w:tcBorders>
            <w:shd w:val="clear" w:color="auto" w:fill="auto"/>
            <w:noWrap/>
            <w:vAlign w:val="center"/>
          </w:tcPr>
          <w:p w14:paraId="21485C85">
            <w:pPr>
              <w:jc w:val="center"/>
              <w:rPr>
                <w:rFonts w:hint="eastAsia" w:ascii="宋体" w:hAnsi="宋体" w:cs="宋体"/>
                <w:color w:val="auto"/>
                <w:szCs w:val="21"/>
              </w:rPr>
            </w:pPr>
            <w:r>
              <w:rPr>
                <w:rFonts w:hint="eastAsia" w:ascii="宋体" w:hAnsi="宋体" w:cs="宋体"/>
                <w:color w:val="auto"/>
                <w:szCs w:val="21"/>
              </w:rPr>
              <w:t>√</w:t>
            </w:r>
          </w:p>
        </w:tc>
      </w:tr>
      <w:tr w14:paraId="500BDF04">
        <w:tblPrEx>
          <w:tblCellMar>
            <w:top w:w="0" w:type="dxa"/>
            <w:left w:w="108" w:type="dxa"/>
            <w:bottom w:w="0" w:type="dxa"/>
            <w:right w:w="108" w:type="dxa"/>
          </w:tblCellMar>
        </w:tblPrEx>
        <w:trPr>
          <w:trHeight w:val="522" w:hRule="atLeast"/>
        </w:trPr>
        <w:tc>
          <w:tcPr>
            <w:tcW w:w="407" w:type="pct"/>
            <w:vMerge w:val="continue"/>
            <w:tcBorders>
              <w:top w:val="nil"/>
              <w:left w:val="single" w:color="auto" w:sz="4" w:space="0"/>
              <w:bottom w:val="nil"/>
              <w:right w:val="single" w:color="auto" w:sz="4" w:space="0"/>
            </w:tcBorders>
            <w:shd w:val="clear" w:color="auto" w:fill="auto"/>
            <w:noWrap/>
            <w:vAlign w:val="center"/>
          </w:tcPr>
          <w:p w14:paraId="43CE9E32">
            <w:pPr>
              <w:rPr>
                <w:rFonts w:hint="eastAsia" w:ascii="宋体" w:hAnsi="宋体" w:cs="宋体"/>
                <w:color w:val="auto"/>
                <w:szCs w:val="21"/>
              </w:rPr>
            </w:pPr>
          </w:p>
        </w:tc>
        <w:tc>
          <w:tcPr>
            <w:tcW w:w="495" w:type="pct"/>
            <w:tcBorders>
              <w:top w:val="nil"/>
              <w:left w:val="nil"/>
              <w:bottom w:val="single" w:color="auto" w:sz="4" w:space="0"/>
              <w:right w:val="nil"/>
            </w:tcBorders>
            <w:shd w:val="clear" w:color="auto" w:fill="auto"/>
            <w:noWrap/>
            <w:vAlign w:val="center"/>
          </w:tcPr>
          <w:p w14:paraId="2D2C0BC0">
            <w:pPr>
              <w:rPr>
                <w:rFonts w:hint="eastAsia" w:ascii="宋体" w:hAnsi="宋体" w:cs="宋体"/>
                <w:color w:val="auto"/>
                <w:szCs w:val="21"/>
              </w:rPr>
            </w:pPr>
            <w:r>
              <w:rPr>
                <w:rFonts w:hint="eastAsia" w:ascii="宋体" w:hAnsi="宋体" w:cs="宋体"/>
                <w:color w:val="auto"/>
                <w:szCs w:val="21"/>
              </w:rPr>
              <w:t>白球比A/G</w:t>
            </w:r>
          </w:p>
        </w:tc>
        <w:tc>
          <w:tcPr>
            <w:tcW w:w="2777" w:type="pct"/>
            <w:tcBorders>
              <w:top w:val="nil"/>
              <w:left w:val="single" w:color="auto" w:sz="4" w:space="0"/>
              <w:bottom w:val="single" w:color="auto" w:sz="4" w:space="0"/>
              <w:right w:val="single" w:color="auto" w:sz="4" w:space="0"/>
            </w:tcBorders>
            <w:shd w:val="clear" w:color="auto" w:fill="auto"/>
            <w:noWrap/>
            <w:vAlign w:val="center"/>
          </w:tcPr>
          <w:p w14:paraId="5E801EFC">
            <w:pPr>
              <w:rPr>
                <w:rFonts w:hint="eastAsia" w:ascii="宋体" w:hAnsi="宋体" w:cs="宋体"/>
                <w:color w:val="auto"/>
                <w:szCs w:val="21"/>
              </w:rPr>
            </w:pPr>
            <w:r>
              <w:rPr>
                <w:rFonts w:hint="eastAsia" w:ascii="宋体" w:hAnsi="宋体" w:cs="宋体"/>
                <w:color w:val="auto"/>
                <w:szCs w:val="21"/>
              </w:rPr>
              <w:t>指数＜1.5，甚至倒置时，预示肝脏出现严重损伤。自身免疫性疾病也会倒置白球比A/G降低。</w:t>
            </w:r>
          </w:p>
        </w:tc>
        <w:tc>
          <w:tcPr>
            <w:tcW w:w="500" w:type="pct"/>
            <w:tcBorders>
              <w:top w:val="nil"/>
              <w:left w:val="nil"/>
              <w:bottom w:val="single" w:color="auto" w:sz="4" w:space="0"/>
              <w:right w:val="single" w:color="auto" w:sz="4" w:space="0"/>
            </w:tcBorders>
            <w:shd w:val="clear" w:color="auto" w:fill="auto"/>
            <w:noWrap/>
            <w:vAlign w:val="center"/>
          </w:tcPr>
          <w:p w14:paraId="3D93358C">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50BCD107">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1DBA006">
            <w:pPr>
              <w:jc w:val="center"/>
              <w:rPr>
                <w:rFonts w:hint="eastAsia" w:ascii="宋体" w:hAnsi="宋体" w:cs="宋体"/>
                <w:color w:val="auto"/>
                <w:szCs w:val="21"/>
              </w:rPr>
            </w:pPr>
            <w:r>
              <w:rPr>
                <w:rFonts w:hint="eastAsia" w:ascii="宋体" w:hAnsi="宋体" w:cs="宋体"/>
                <w:color w:val="auto"/>
                <w:szCs w:val="21"/>
              </w:rPr>
              <w:t>√</w:t>
            </w:r>
          </w:p>
        </w:tc>
      </w:tr>
      <w:tr w14:paraId="4BD862EC">
        <w:tblPrEx>
          <w:tblCellMar>
            <w:top w:w="0" w:type="dxa"/>
            <w:left w:w="108" w:type="dxa"/>
            <w:bottom w:w="0" w:type="dxa"/>
            <w:right w:w="108" w:type="dxa"/>
          </w:tblCellMar>
        </w:tblPrEx>
        <w:trPr>
          <w:trHeight w:val="480" w:hRule="atLeast"/>
        </w:trPr>
        <w:tc>
          <w:tcPr>
            <w:tcW w:w="407" w:type="pct"/>
            <w:vMerge w:val="restart"/>
            <w:tcBorders>
              <w:top w:val="single" w:color="auto" w:sz="4" w:space="0"/>
              <w:left w:val="single" w:color="auto" w:sz="4" w:space="0"/>
              <w:bottom w:val="nil"/>
              <w:right w:val="single" w:color="auto" w:sz="4" w:space="0"/>
            </w:tcBorders>
            <w:shd w:val="clear" w:color="auto" w:fill="auto"/>
            <w:noWrap/>
            <w:vAlign w:val="center"/>
          </w:tcPr>
          <w:p w14:paraId="196F1693">
            <w:pPr>
              <w:jc w:val="center"/>
              <w:rPr>
                <w:rFonts w:hint="eastAsia" w:ascii="宋体" w:hAnsi="宋体" w:cs="宋体"/>
                <w:color w:val="auto"/>
                <w:szCs w:val="21"/>
              </w:rPr>
            </w:pPr>
            <w:r>
              <w:rPr>
                <w:rFonts w:hint="eastAsia" w:ascii="宋体" w:hAnsi="宋体" w:cs="宋体"/>
                <w:color w:val="auto"/>
                <w:szCs w:val="21"/>
              </w:rPr>
              <w:t>肾 功 能  3  项</w:t>
            </w:r>
          </w:p>
        </w:tc>
        <w:tc>
          <w:tcPr>
            <w:tcW w:w="495" w:type="pct"/>
            <w:tcBorders>
              <w:top w:val="nil"/>
              <w:left w:val="nil"/>
              <w:bottom w:val="single" w:color="auto" w:sz="4" w:space="0"/>
              <w:right w:val="single" w:color="auto" w:sz="4" w:space="0"/>
            </w:tcBorders>
            <w:shd w:val="clear" w:color="auto" w:fill="auto"/>
            <w:noWrap/>
            <w:vAlign w:val="center"/>
          </w:tcPr>
          <w:p w14:paraId="28E3B9A9">
            <w:pPr>
              <w:rPr>
                <w:rFonts w:hint="eastAsia" w:ascii="宋体" w:hAnsi="宋体" w:cs="宋体"/>
                <w:color w:val="auto"/>
                <w:szCs w:val="21"/>
              </w:rPr>
            </w:pPr>
            <w:r>
              <w:rPr>
                <w:rFonts w:hint="eastAsia" w:ascii="宋体" w:hAnsi="宋体" w:cs="宋体"/>
                <w:color w:val="auto"/>
                <w:szCs w:val="21"/>
              </w:rPr>
              <w:t>尿酸</w:t>
            </w:r>
          </w:p>
        </w:tc>
        <w:tc>
          <w:tcPr>
            <w:tcW w:w="2777" w:type="pct"/>
            <w:vMerge w:val="restart"/>
            <w:tcBorders>
              <w:top w:val="nil"/>
              <w:left w:val="single" w:color="auto" w:sz="4" w:space="0"/>
              <w:bottom w:val="nil"/>
              <w:right w:val="single" w:color="auto" w:sz="4" w:space="0"/>
            </w:tcBorders>
            <w:shd w:val="clear" w:color="auto" w:fill="auto"/>
            <w:noWrap/>
            <w:vAlign w:val="center"/>
          </w:tcPr>
          <w:p w14:paraId="208544D7">
            <w:pPr>
              <w:rPr>
                <w:rFonts w:hint="eastAsia" w:ascii="宋体" w:hAnsi="宋体" w:cs="宋体"/>
                <w:color w:val="auto"/>
                <w:szCs w:val="21"/>
              </w:rPr>
            </w:pPr>
            <w:r>
              <w:rPr>
                <w:rFonts w:hint="eastAsia" w:ascii="宋体" w:hAnsi="宋体" w:cs="宋体"/>
                <w:color w:val="auto"/>
                <w:szCs w:val="21"/>
              </w:rPr>
              <w:t>可提示有无肾功能损害，如慢性肾炎、肾盂肾炎、肾结核、肾肿瘤、尿毒症等</w:t>
            </w:r>
          </w:p>
        </w:tc>
        <w:tc>
          <w:tcPr>
            <w:tcW w:w="500" w:type="pct"/>
            <w:tcBorders>
              <w:top w:val="nil"/>
              <w:left w:val="nil"/>
              <w:bottom w:val="single" w:color="auto" w:sz="4" w:space="0"/>
              <w:right w:val="single" w:color="auto" w:sz="4" w:space="0"/>
            </w:tcBorders>
            <w:shd w:val="clear" w:color="auto" w:fill="auto"/>
            <w:noWrap/>
            <w:vAlign w:val="center"/>
          </w:tcPr>
          <w:p w14:paraId="0F9939D2">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1387B8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C9DC007">
            <w:pPr>
              <w:jc w:val="center"/>
              <w:rPr>
                <w:rFonts w:hint="eastAsia" w:ascii="宋体" w:hAnsi="宋体" w:cs="宋体"/>
                <w:color w:val="auto"/>
                <w:szCs w:val="21"/>
              </w:rPr>
            </w:pPr>
            <w:r>
              <w:rPr>
                <w:rFonts w:hint="eastAsia" w:ascii="宋体" w:hAnsi="宋体" w:cs="宋体"/>
                <w:color w:val="auto"/>
                <w:szCs w:val="21"/>
              </w:rPr>
              <w:t>√</w:t>
            </w:r>
          </w:p>
        </w:tc>
      </w:tr>
      <w:tr w14:paraId="07E04A72">
        <w:tblPrEx>
          <w:tblCellMar>
            <w:top w:w="0" w:type="dxa"/>
            <w:left w:w="108" w:type="dxa"/>
            <w:bottom w:w="0" w:type="dxa"/>
            <w:right w:w="108" w:type="dxa"/>
          </w:tblCellMar>
        </w:tblPrEx>
        <w:trPr>
          <w:trHeight w:val="1320"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331CF765">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198E19F2">
            <w:pPr>
              <w:rPr>
                <w:rFonts w:hint="eastAsia" w:ascii="宋体" w:hAnsi="宋体" w:cs="宋体"/>
                <w:color w:val="auto"/>
                <w:szCs w:val="21"/>
              </w:rPr>
            </w:pPr>
            <w:r>
              <w:rPr>
                <w:rFonts w:hint="eastAsia" w:ascii="宋体" w:hAnsi="宋体" w:cs="宋体"/>
                <w:color w:val="auto"/>
                <w:szCs w:val="21"/>
              </w:rPr>
              <w:t>尿素</w:t>
            </w:r>
          </w:p>
        </w:tc>
        <w:tc>
          <w:tcPr>
            <w:tcW w:w="2777" w:type="pct"/>
            <w:vMerge w:val="continue"/>
            <w:tcBorders>
              <w:top w:val="nil"/>
              <w:left w:val="single" w:color="auto" w:sz="4" w:space="0"/>
              <w:bottom w:val="nil"/>
              <w:right w:val="single" w:color="auto" w:sz="4" w:space="0"/>
            </w:tcBorders>
            <w:shd w:val="clear" w:color="auto" w:fill="auto"/>
            <w:noWrap/>
            <w:vAlign w:val="center"/>
          </w:tcPr>
          <w:p w14:paraId="5780EE93">
            <w:pPr>
              <w:rPr>
                <w:rFonts w:hint="eastAsia" w:ascii="宋体" w:hAnsi="宋体" w:cs="宋体"/>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7CE9E2DD">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D4B190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6B1F5BAA">
            <w:pPr>
              <w:jc w:val="center"/>
              <w:rPr>
                <w:rFonts w:hint="eastAsia" w:ascii="宋体" w:hAnsi="宋体" w:cs="宋体"/>
                <w:color w:val="auto"/>
                <w:szCs w:val="21"/>
              </w:rPr>
            </w:pPr>
            <w:r>
              <w:rPr>
                <w:rFonts w:hint="eastAsia" w:ascii="宋体" w:hAnsi="宋体" w:cs="宋体"/>
                <w:color w:val="auto"/>
                <w:szCs w:val="21"/>
              </w:rPr>
              <w:t>√</w:t>
            </w:r>
          </w:p>
        </w:tc>
      </w:tr>
      <w:tr w14:paraId="5D7C1D7F">
        <w:tblPrEx>
          <w:tblCellMar>
            <w:top w:w="0" w:type="dxa"/>
            <w:left w:w="108" w:type="dxa"/>
            <w:bottom w:w="0" w:type="dxa"/>
            <w:right w:w="108" w:type="dxa"/>
          </w:tblCellMar>
        </w:tblPrEx>
        <w:trPr>
          <w:trHeight w:val="480"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42E697D7">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6112E8AB">
            <w:pPr>
              <w:rPr>
                <w:rFonts w:hint="eastAsia" w:ascii="宋体" w:hAnsi="宋体" w:cs="宋体"/>
                <w:color w:val="auto"/>
                <w:szCs w:val="21"/>
              </w:rPr>
            </w:pPr>
            <w:r>
              <w:rPr>
                <w:rFonts w:hint="eastAsia" w:ascii="宋体" w:hAnsi="宋体" w:cs="宋体"/>
                <w:color w:val="auto"/>
                <w:szCs w:val="21"/>
              </w:rPr>
              <w:t>肌酐</w:t>
            </w:r>
          </w:p>
        </w:tc>
        <w:tc>
          <w:tcPr>
            <w:tcW w:w="2777" w:type="pct"/>
            <w:vMerge w:val="continue"/>
            <w:tcBorders>
              <w:top w:val="nil"/>
              <w:left w:val="single" w:color="auto" w:sz="4" w:space="0"/>
              <w:bottom w:val="nil"/>
              <w:right w:val="single" w:color="auto" w:sz="4" w:space="0"/>
            </w:tcBorders>
            <w:shd w:val="clear" w:color="auto" w:fill="auto"/>
            <w:noWrap/>
            <w:vAlign w:val="center"/>
          </w:tcPr>
          <w:p w14:paraId="15D8D280">
            <w:pPr>
              <w:rPr>
                <w:rFonts w:hint="eastAsia" w:ascii="宋体" w:hAnsi="宋体" w:cs="宋体"/>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67AABAB1">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1F66259">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4B9B1619">
            <w:pPr>
              <w:jc w:val="center"/>
              <w:rPr>
                <w:rFonts w:hint="eastAsia" w:ascii="宋体" w:hAnsi="宋体" w:cs="宋体"/>
                <w:color w:val="auto"/>
                <w:szCs w:val="21"/>
              </w:rPr>
            </w:pPr>
            <w:r>
              <w:rPr>
                <w:rFonts w:hint="eastAsia" w:ascii="宋体" w:hAnsi="宋体" w:cs="宋体"/>
                <w:color w:val="auto"/>
                <w:szCs w:val="21"/>
              </w:rPr>
              <w:t>√</w:t>
            </w:r>
          </w:p>
        </w:tc>
      </w:tr>
      <w:tr w14:paraId="603CE4C0">
        <w:tblPrEx>
          <w:tblCellMar>
            <w:top w:w="0" w:type="dxa"/>
            <w:left w:w="108" w:type="dxa"/>
            <w:bottom w:w="0" w:type="dxa"/>
            <w:right w:w="108" w:type="dxa"/>
          </w:tblCellMar>
        </w:tblPrEx>
        <w:trPr>
          <w:trHeight w:val="1080" w:hRule="atLeast"/>
        </w:trPr>
        <w:tc>
          <w:tcPr>
            <w:tcW w:w="407" w:type="pct"/>
            <w:vMerge w:val="restart"/>
            <w:tcBorders>
              <w:top w:val="single" w:color="auto" w:sz="4" w:space="0"/>
              <w:left w:val="single" w:color="auto" w:sz="4" w:space="0"/>
              <w:bottom w:val="nil"/>
              <w:right w:val="single" w:color="auto" w:sz="4" w:space="0"/>
            </w:tcBorders>
            <w:shd w:val="clear" w:color="auto" w:fill="auto"/>
            <w:noWrap/>
            <w:vAlign w:val="center"/>
          </w:tcPr>
          <w:p w14:paraId="03199216">
            <w:pPr>
              <w:jc w:val="center"/>
              <w:rPr>
                <w:rFonts w:hint="eastAsia" w:ascii="宋体" w:hAnsi="宋体" w:cs="宋体"/>
                <w:color w:val="auto"/>
                <w:szCs w:val="21"/>
              </w:rPr>
            </w:pPr>
            <w:r>
              <w:rPr>
                <w:rFonts w:hint="eastAsia" w:ascii="宋体" w:hAnsi="宋体" w:cs="宋体"/>
                <w:color w:val="auto"/>
                <w:szCs w:val="21"/>
              </w:rPr>
              <w:t>血脂</w:t>
            </w:r>
            <w:r>
              <w:rPr>
                <w:rFonts w:hint="eastAsia" w:ascii="宋体" w:hAnsi="宋体" w:cs="宋体"/>
                <w:color w:val="auto"/>
                <w:szCs w:val="21"/>
              </w:rPr>
              <w:br w:type="textWrapping"/>
            </w:r>
            <w:r>
              <w:rPr>
                <w:rFonts w:hint="eastAsia" w:ascii="宋体" w:hAnsi="宋体" w:cs="宋体"/>
                <w:color w:val="auto"/>
                <w:szCs w:val="21"/>
              </w:rPr>
              <w:t>5</w:t>
            </w:r>
            <w:r>
              <w:rPr>
                <w:rFonts w:hint="eastAsia" w:ascii="宋体" w:hAnsi="宋体" w:cs="宋体"/>
                <w:color w:val="auto"/>
                <w:szCs w:val="21"/>
              </w:rPr>
              <w:br w:type="textWrapping"/>
            </w:r>
            <w:r>
              <w:rPr>
                <w:rFonts w:hint="eastAsia" w:ascii="宋体" w:hAnsi="宋体" w:cs="宋体"/>
                <w:color w:val="auto"/>
                <w:szCs w:val="21"/>
              </w:rPr>
              <w:t>项</w:t>
            </w:r>
          </w:p>
        </w:tc>
        <w:tc>
          <w:tcPr>
            <w:tcW w:w="495" w:type="pct"/>
            <w:tcBorders>
              <w:top w:val="nil"/>
              <w:left w:val="nil"/>
              <w:bottom w:val="single" w:color="auto" w:sz="4" w:space="0"/>
              <w:right w:val="single" w:color="auto" w:sz="4" w:space="0"/>
            </w:tcBorders>
            <w:shd w:val="clear" w:color="auto" w:fill="auto"/>
            <w:noWrap/>
            <w:vAlign w:val="center"/>
          </w:tcPr>
          <w:p w14:paraId="300A561F">
            <w:pPr>
              <w:rPr>
                <w:rFonts w:hint="eastAsia" w:ascii="宋体" w:hAnsi="宋体" w:cs="宋体"/>
                <w:color w:val="auto"/>
                <w:szCs w:val="21"/>
              </w:rPr>
            </w:pPr>
            <w:r>
              <w:rPr>
                <w:rFonts w:hint="eastAsia" w:ascii="宋体" w:hAnsi="宋体" w:cs="宋体"/>
                <w:color w:val="auto"/>
                <w:szCs w:val="21"/>
              </w:rPr>
              <w:t>总胆固醇</w:t>
            </w:r>
          </w:p>
        </w:tc>
        <w:tc>
          <w:tcPr>
            <w:tcW w:w="2777" w:type="pct"/>
            <w:tcBorders>
              <w:top w:val="single" w:color="auto" w:sz="4" w:space="0"/>
              <w:left w:val="nil"/>
              <w:bottom w:val="single" w:color="auto" w:sz="4" w:space="0"/>
              <w:right w:val="single" w:color="auto" w:sz="4" w:space="0"/>
            </w:tcBorders>
            <w:shd w:val="clear" w:color="auto" w:fill="auto"/>
            <w:noWrap/>
            <w:vAlign w:val="center"/>
          </w:tcPr>
          <w:p w14:paraId="78B686BD">
            <w:pPr>
              <w:rPr>
                <w:rFonts w:hint="eastAsia" w:ascii="宋体" w:hAnsi="宋体" w:cs="宋体"/>
                <w:color w:val="auto"/>
                <w:szCs w:val="21"/>
              </w:rPr>
            </w:pPr>
            <w:r>
              <w:rPr>
                <w:rFonts w:hint="eastAsia" w:ascii="宋体" w:hAnsi="宋体" w:cs="宋体"/>
                <w:color w:val="auto"/>
                <w:szCs w:val="21"/>
              </w:rPr>
              <w:t>增高：家族性高胆固醇血症、动脉粥样硬化、冠心病、肾病综合征、糖尿病、胆石症、胆汁淤积、甲低、长期高脂饮食、妊娠期。降低：严重肝脏损害、肿瘤、结核、甲亢、消化不良综合征。</w:t>
            </w:r>
          </w:p>
        </w:tc>
        <w:tc>
          <w:tcPr>
            <w:tcW w:w="500" w:type="pct"/>
            <w:tcBorders>
              <w:top w:val="nil"/>
              <w:left w:val="nil"/>
              <w:bottom w:val="single" w:color="auto" w:sz="4" w:space="0"/>
              <w:right w:val="single" w:color="auto" w:sz="4" w:space="0"/>
            </w:tcBorders>
            <w:shd w:val="clear" w:color="auto" w:fill="auto"/>
            <w:noWrap/>
            <w:vAlign w:val="center"/>
          </w:tcPr>
          <w:p w14:paraId="6540CE4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39BF302E">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EECB538">
            <w:pPr>
              <w:jc w:val="center"/>
              <w:rPr>
                <w:rFonts w:hint="eastAsia" w:ascii="宋体" w:hAnsi="宋体" w:cs="宋体"/>
                <w:color w:val="auto"/>
                <w:szCs w:val="21"/>
              </w:rPr>
            </w:pPr>
            <w:r>
              <w:rPr>
                <w:rFonts w:hint="eastAsia" w:ascii="宋体" w:hAnsi="宋体" w:cs="宋体"/>
                <w:color w:val="auto"/>
                <w:szCs w:val="21"/>
              </w:rPr>
              <w:t>√</w:t>
            </w:r>
          </w:p>
        </w:tc>
      </w:tr>
      <w:tr w14:paraId="476020EA">
        <w:tblPrEx>
          <w:tblCellMar>
            <w:top w:w="0" w:type="dxa"/>
            <w:left w:w="108" w:type="dxa"/>
            <w:bottom w:w="0" w:type="dxa"/>
            <w:right w:w="108" w:type="dxa"/>
          </w:tblCellMar>
        </w:tblPrEx>
        <w:trPr>
          <w:trHeight w:val="462"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71343F4A">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65228E77">
            <w:pPr>
              <w:rPr>
                <w:rFonts w:hint="eastAsia" w:ascii="宋体" w:hAnsi="宋体" w:cs="宋体"/>
                <w:color w:val="auto"/>
                <w:szCs w:val="21"/>
              </w:rPr>
            </w:pPr>
            <w:r>
              <w:rPr>
                <w:rFonts w:hint="eastAsia" w:ascii="宋体" w:hAnsi="宋体" w:cs="宋体"/>
                <w:color w:val="auto"/>
                <w:szCs w:val="21"/>
              </w:rPr>
              <w:t>甘油三酯</w:t>
            </w:r>
          </w:p>
        </w:tc>
        <w:tc>
          <w:tcPr>
            <w:tcW w:w="2777" w:type="pct"/>
            <w:tcBorders>
              <w:top w:val="nil"/>
              <w:left w:val="nil"/>
              <w:bottom w:val="single" w:color="auto" w:sz="4" w:space="0"/>
              <w:right w:val="single" w:color="auto" w:sz="4" w:space="0"/>
            </w:tcBorders>
            <w:shd w:val="clear" w:color="auto" w:fill="auto"/>
            <w:noWrap/>
            <w:vAlign w:val="center"/>
          </w:tcPr>
          <w:p w14:paraId="6339A95C">
            <w:pPr>
              <w:rPr>
                <w:rFonts w:hint="eastAsia" w:ascii="宋体" w:hAnsi="宋体" w:cs="宋体"/>
                <w:color w:val="auto"/>
                <w:szCs w:val="21"/>
              </w:rPr>
            </w:pPr>
            <w:r>
              <w:rPr>
                <w:rFonts w:hint="eastAsia" w:ascii="宋体" w:hAnsi="宋体" w:cs="宋体"/>
                <w:color w:val="auto"/>
                <w:szCs w:val="21"/>
              </w:rPr>
              <w:t>增高：动脉粥样硬化、糖尿病、肾病综合征、家族性高脂血症。</w:t>
            </w:r>
          </w:p>
        </w:tc>
        <w:tc>
          <w:tcPr>
            <w:tcW w:w="500" w:type="pct"/>
            <w:tcBorders>
              <w:top w:val="nil"/>
              <w:left w:val="nil"/>
              <w:bottom w:val="single" w:color="auto" w:sz="4" w:space="0"/>
              <w:right w:val="single" w:color="auto" w:sz="4" w:space="0"/>
            </w:tcBorders>
            <w:shd w:val="clear" w:color="auto" w:fill="auto"/>
            <w:noWrap/>
            <w:vAlign w:val="center"/>
          </w:tcPr>
          <w:p w14:paraId="6BAB44D1">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3543D03C">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AB98618">
            <w:pPr>
              <w:jc w:val="center"/>
              <w:rPr>
                <w:rFonts w:hint="eastAsia" w:ascii="宋体" w:hAnsi="宋体" w:cs="宋体"/>
                <w:color w:val="auto"/>
                <w:szCs w:val="21"/>
              </w:rPr>
            </w:pPr>
            <w:r>
              <w:rPr>
                <w:rFonts w:hint="eastAsia" w:ascii="宋体" w:hAnsi="宋体" w:cs="宋体"/>
                <w:color w:val="auto"/>
                <w:szCs w:val="21"/>
              </w:rPr>
              <w:t>√</w:t>
            </w:r>
          </w:p>
        </w:tc>
      </w:tr>
      <w:tr w14:paraId="4C6BBC8F">
        <w:tblPrEx>
          <w:tblCellMar>
            <w:top w:w="0" w:type="dxa"/>
            <w:left w:w="108" w:type="dxa"/>
            <w:bottom w:w="0" w:type="dxa"/>
            <w:right w:w="108" w:type="dxa"/>
          </w:tblCellMar>
        </w:tblPrEx>
        <w:trPr>
          <w:trHeight w:val="420"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3104C539">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42A2D2AE">
            <w:pPr>
              <w:rPr>
                <w:rFonts w:hint="eastAsia" w:ascii="宋体" w:hAnsi="宋体" w:cs="宋体"/>
                <w:color w:val="auto"/>
                <w:szCs w:val="21"/>
              </w:rPr>
            </w:pPr>
            <w:r>
              <w:rPr>
                <w:rFonts w:hint="eastAsia" w:ascii="宋体" w:hAnsi="宋体" w:cs="宋体"/>
                <w:color w:val="auto"/>
                <w:szCs w:val="21"/>
              </w:rPr>
              <w:t>高密度脂蛋白胆固醇</w:t>
            </w:r>
          </w:p>
        </w:tc>
        <w:tc>
          <w:tcPr>
            <w:tcW w:w="2777" w:type="pct"/>
            <w:tcBorders>
              <w:top w:val="nil"/>
              <w:left w:val="nil"/>
              <w:bottom w:val="single" w:color="auto" w:sz="4" w:space="0"/>
              <w:right w:val="single" w:color="auto" w:sz="4" w:space="0"/>
            </w:tcBorders>
            <w:shd w:val="clear" w:color="auto" w:fill="auto"/>
            <w:noWrap/>
            <w:vAlign w:val="center"/>
          </w:tcPr>
          <w:p w14:paraId="1C7994D0">
            <w:pPr>
              <w:rPr>
                <w:rFonts w:hint="eastAsia" w:ascii="宋体" w:hAnsi="宋体" w:cs="宋体"/>
                <w:color w:val="auto"/>
                <w:szCs w:val="21"/>
              </w:rPr>
            </w:pPr>
            <w:r>
              <w:rPr>
                <w:rFonts w:hint="eastAsia" w:ascii="宋体" w:hAnsi="宋体" w:cs="宋体"/>
                <w:color w:val="auto"/>
                <w:szCs w:val="21"/>
              </w:rPr>
              <w:t>降低：冠心病、高甘油三脂血症、肝功能损害、肝硬化、急性胆囊炎。</w:t>
            </w:r>
          </w:p>
        </w:tc>
        <w:tc>
          <w:tcPr>
            <w:tcW w:w="500" w:type="pct"/>
            <w:tcBorders>
              <w:top w:val="nil"/>
              <w:left w:val="nil"/>
              <w:bottom w:val="single" w:color="auto" w:sz="4" w:space="0"/>
              <w:right w:val="single" w:color="auto" w:sz="4" w:space="0"/>
            </w:tcBorders>
            <w:shd w:val="clear" w:color="auto" w:fill="auto"/>
            <w:noWrap/>
            <w:vAlign w:val="center"/>
          </w:tcPr>
          <w:p w14:paraId="78FA1828">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7C06898E">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26B8171C">
            <w:pPr>
              <w:jc w:val="center"/>
              <w:rPr>
                <w:rFonts w:hint="eastAsia" w:ascii="宋体" w:hAnsi="宋体" w:cs="宋体"/>
                <w:color w:val="auto"/>
                <w:szCs w:val="21"/>
              </w:rPr>
            </w:pPr>
            <w:r>
              <w:rPr>
                <w:rFonts w:hint="eastAsia" w:ascii="宋体" w:hAnsi="宋体" w:cs="宋体"/>
                <w:color w:val="auto"/>
                <w:szCs w:val="21"/>
              </w:rPr>
              <w:t>√</w:t>
            </w:r>
          </w:p>
        </w:tc>
      </w:tr>
      <w:tr w14:paraId="1A64393C">
        <w:tblPrEx>
          <w:tblCellMar>
            <w:top w:w="0" w:type="dxa"/>
            <w:left w:w="108" w:type="dxa"/>
            <w:bottom w:w="0" w:type="dxa"/>
            <w:right w:w="108" w:type="dxa"/>
          </w:tblCellMar>
        </w:tblPrEx>
        <w:trPr>
          <w:trHeight w:val="540"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4BC6ED6B">
            <w:pPr>
              <w:rPr>
                <w:rFonts w:hint="eastAsia" w:ascii="宋体" w:hAnsi="宋体" w:cs="宋体"/>
                <w:color w:val="auto"/>
                <w:szCs w:val="21"/>
              </w:rPr>
            </w:pPr>
          </w:p>
        </w:tc>
        <w:tc>
          <w:tcPr>
            <w:tcW w:w="495" w:type="pct"/>
            <w:tcBorders>
              <w:top w:val="nil"/>
              <w:left w:val="nil"/>
              <w:bottom w:val="single" w:color="auto" w:sz="4" w:space="0"/>
              <w:right w:val="single" w:color="auto" w:sz="4" w:space="0"/>
            </w:tcBorders>
            <w:shd w:val="clear" w:color="auto" w:fill="auto"/>
            <w:noWrap/>
            <w:vAlign w:val="center"/>
          </w:tcPr>
          <w:p w14:paraId="1D009B6F">
            <w:pPr>
              <w:rPr>
                <w:rFonts w:hint="eastAsia" w:ascii="宋体" w:hAnsi="宋体" w:cs="宋体"/>
                <w:color w:val="auto"/>
                <w:szCs w:val="21"/>
              </w:rPr>
            </w:pPr>
            <w:r>
              <w:rPr>
                <w:rFonts w:hint="eastAsia" w:ascii="宋体" w:hAnsi="宋体" w:cs="宋体"/>
                <w:color w:val="auto"/>
                <w:szCs w:val="21"/>
              </w:rPr>
              <w:t>低密度脂蛋白胆固醇</w:t>
            </w:r>
          </w:p>
        </w:tc>
        <w:tc>
          <w:tcPr>
            <w:tcW w:w="2777" w:type="pct"/>
            <w:tcBorders>
              <w:top w:val="nil"/>
              <w:left w:val="nil"/>
              <w:bottom w:val="single" w:color="auto" w:sz="4" w:space="0"/>
              <w:right w:val="single" w:color="auto" w:sz="4" w:space="0"/>
            </w:tcBorders>
            <w:shd w:val="clear" w:color="auto" w:fill="auto"/>
            <w:noWrap/>
            <w:vAlign w:val="center"/>
          </w:tcPr>
          <w:p w14:paraId="45DE5BC4">
            <w:pPr>
              <w:rPr>
                <w:rFonts w:hint="eastAsia" w:ascii="宋体" w:hAnsi="宋体" w:cs="宋体"/>
                <w:color w:val="auto"/>
                <w:szCs w:val="21"/>
              </w:rPr>
            </w:pPr>
            <w:r>
              <w:rPr>
                <w:rFonts w:hint="eastAsia" w:ascii="宋体" w:hAnsi="宋体" w:cs="宋体"/>
                <w:color w:val="auto"/>
                <w:szCs w:val="21"/>
              </w:rPr>
              <w:t>增高：是动脉粥样硬化、冠心病的危险信号、甲低、糖尿病、肾病综合征。降低：甲亢、急、慢性肝炎、肝硬化等。</w:t>
            </w:r>
          </w:p>
        </w:tc>
        <w:tc>
          <w:tcPr>
            <w:tcW w:w="500" w:type="pct"/>
            <w:tcBorders>
              <w:top w:val="nil"/>
              <w:left w:val="nil"/>
              <w:bottom w:val="single" w:color="auto" w:sz="4" w:space="0"/>
              <w:right w:val="single" w:color="auto" w:sz="4" w:space="0"/>
            </w:tcBorders>
            <w:shd w:val="clear" w:color="auto" w:fill="auto"/>
            <w:noWrap/>
            <w:vAlign w:val="center"/>
          </w:tcPr>
          <w:p w14:paraId="7B5681FB">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2E582F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4F9EA57">
            <w:pPr>
              <w:jc w:val="center"/>
              <w:rPr>
                <w:rFonts w:hint="eastAsia" w:ascii="宋体" w:hAnsi="宋体" w:cs="宋体"/>
                <w:color w:val="auto"/>
                <w:szCs w:val="21"/>
              </w:rPr>
            </w:pPr>
            <w:r>
              <w:rPr>
                <w:rFonts w:hint="eastAsia" w:ascii="宋体" w:hAnsi="宋体" w:cs="宋体"/>
                <w:color w:val="auto"/>
                <w:szCs w:val="21"/>
              </w:rPr>
              <w:t>√</w:t>
            </w:r>
          </w:p>
        </w:tc>
      </w:tr>
      <w:tr w14:paraId="7A7FC8D2">
        <w:tblPrEx>
          <w:tblCellMar>
            <w:top w:w="0" w:type="dxa"/>
            <w:left w:w="108" w:type="dxa"/>
            <w:bottom w:w="0" w:type="dxa"/>
            <w:right w:w="108" w:type="dxa"/>
          </w:tblCellMar>
        </w:tblPrEx>
        <w:trPr>
          <w:trHeight w:val="439" w:hRule="atLeast"/>
        </w:trPr>
        <w:tc>
          <w:tcPr>
            <w:tcW w:w="407" w:type="pct"/>
            <w:vMerge w:val="continue"/>
            <w:tcBorders>
              <w:top w:val="single" w:color="auto" w:sz="4" w:space="0"/>
              <w:left w:val="single" w:color="auto" w:sz="4" w:space="0"/>
              <w:bottom w:val="nil"/>
              <w:right w:val="single" w:color="auto" w:sz="4" w:space="0"/>
            </w:tcBorders>
            <w:shd w:val="clear" w:color="auto" w:fill="auto"/>
            <w:noWrap/>
            <w:vAlign w:val="center"/>
          </w:tcPr>
          <w:p w14:paraId="6F7FA559">
            <w:pPr>
              <w:rPr>
                <w:rFonts w:hint="eastAsia" w:ascii="宋体" w:hAnsi="宋体" w:cs="宋体"/>
                <w:color w:val="auto"/>
                <w:szCs w:val="21"/>
              </w:rPr>
            </w:pPr>
          </w:p>
        </w:tc>
        <w:tc>
          <w:tcPr>
            <w:tcW w:w="495" w:type="pct"/>
            <w:tcBorders>
              <w:top w:val="nil"/>
              <w:left w:val="nil"/>
              <w:bottom w:val="nil"/>
              <w:right w:val="single" w:color="auto" w:sz="4" w:space="0"/>
            </w:tcBorders>
            <w:shd w:val="clear" w:color="auto" w:fill="auto"/>
            <w:noWrap/>
            <w:vAlign w:val="center"/>
          </w:tcPr>
          <w:p w14:paraId="59467356">
            <w:pPr>
              <w:rPr>
                <w:rFonts w:hint="eastAsia" w:ascii="宋体" w:hAnsi="宋体" w:cs="宋体"/>
                <w:color w:val="auto"/>
                <w:szCs w:val="21"/>
              </w:rPr>
            </w:pPr>
            <w:r>
              <w:rPr>
                <w:rFonts w:hint="eastAsia" w:ascii="宋体" w:hAnsi="宋体" w:cs="宋体"/>
                <w:color w:val="auto"/>
                <w:szCs w:val="21"/>
              </w:rPr>
              <w:t>动脉粥样硬化指数</w:t>
            </w:r>
          </w:p>
        </w:tc>
        <w:tc>
          <w:tcPr>
            <w:tcW w:w="2777" w:type="pct"/>
            <w:tcBorders>
              <w:top w:val="nil"/>
              <w:left w:val="nil"/>
              <w:bottom w:val="single" w:color="auto" w:sz="4" w:space="0"/>
              <w:right w:val="single" w:color="auto" w:sz="4" w:space="0"/>
            </w:tcBorders>
            <w:shd w:val="clear" w:color="auto" w:fill="auto"/>
            <w:noWrap/>
            <w:vAlign w:val="center"/>
          </w:tcPr>
          <w:p w14:paraId="3FA4040E">
            <w:pPr>
              <w:rPr>
                <w:rFonts w:hint="eastAsia" w:ascii="宋体" w:hAnsi="宋体" w:cs="宋体"/>
                <w:color w:val="auto"/>
                <w:szCs w:val="21"/>
              </w:rPr>
            </w:pPr>
            <w:r>
              <w:rPr>
                <w:rFonts w:hint="eastAsia" w:ascii="宋体" w:hAnsi="宋体" w:cs="宋体"/>
                <w:color w:val="auto"/>
                <w:szCs w:val="21"/>
              </w:rPr>
              <w:t>指数＜4，动脉粥样硬化程度不严重或在减轻</w:t>
            </w:r>
            <w:r>
              <w:rPr>
                <w:rFonts w:hint="eastAsia" w:ascii="宋体" w:hAnsi="宋体" w:cs="宋体"/>
                <w:color w:val="auto"/>
                <w:szCs w:val="21"/>
              </w:rPr>
              <w:br w:type="textWrapping"/>
            </w:r>
            <w:r>
              <w:rPr>
                <w:rFonts w:hint="eastAsia" w:ascii="宋体" w:hAnsi="宋体" w:cs="宋体"/>
                <w:color w:val="auto"/>
                <w:szCs w:val="21"/>
              </w:rPr>
              <w:t>指数≥4，已经发生了动脉硬化指数，数值越大动脉硬化程度越重，发生心脑血管危险性越高</w:t>
            </w:r>
          </w:p>
        </w:tc>
        <w:tc>
          <w:tcPr>
            <w:tcW w:w="500" w:type="pct"/>
            <w:tcBorders>
              <w:top w:val="nil"/>
              <w:left w:val="nil"/>
              <w:bottom w:val="single" w:color="auto" w:sz="4" w:space="0"/>
              <w:right w:val="single" w:color="auto" w:sz="4" w:space="0"/>
            </w:tcBorders>
            <w:shd w:val="clear" w:color="auto" w:fill="auto"/>
            <w:noWrap/>
            <w:vAlign w:val="center"/>
          </w:tcPr>
          <w:p w14:paraId="0A54E4C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61CFF3B">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20575BB4">
            <w:pPr>
              <w:jc w:val="center"/>
              <w:rPr>
                <w:rFonts w:hint="eastAsia" w:ascii="宋体" w:hAnsi="宋体" w:cs="宋体"/>
                <w:color w:val="auto"/>
                <w:szCs w:val="21"/>
              </w:rPr>
            </w:pPr>
            <w:r>
              <w:rPr>
                <w:rFonts w:hint="eastAsia" w:ascii="宋体" w:hAnsi="宋体" w:cs="宋体"/>
                <w:color w:val="auto"/>
                <w:szCs w:val="21"/>
              </w:rPr>
              <w:t>√</w:t>
            </w:r>
          </w:p>
        </w:tc>
      </w:tr>
      <w:tr w14:paraId="7A77AF99">
        <w:tblPrEx>
          <w:tblCellMar>
            <w:top w:w="0" w:type="dxa"/>
            <w:left w:w="108" w:type="dxa"/>
            <w:bottom w:w="0" w:type="dxa"/>
            <w:right w:w="108" w:type="dxa"/>
          </w:tblCellMar>
        </w:tblPrEx>
        <w:trPr>
          <w:trHeight w:val="439"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EDC660">
            <w:pPr>
              <w:jc w:val="center"/>
              <w:rPr>
                <w:rFonts w:hint="eastAsia" w:ascii="宋体" w:hAnsi="宋体" w:cs="宋体"/>
                <w:color w:val="auto"/>
                <w:szCs w:val="21"/>
              </w:rPr>
            </w:pPr>
            <w:r>
              <w:rPr>
                <w:rFonts w:hint="eastAsia" w:ascii="宋体" w:hAnsi="宋体" w:cs="宋体"/>
                <w:color w:val="auto"/>
                <w:szCs w:val="21"/>
              </w:rPr>
              <w:t>胃泌素-17</w:t>
            </w:r>
          </w:p>
        </w:tc>
        <w:tc>
          <w:tcPr>
            <w:tcW w:w="2777" w:type="pct"/>
            <w:tcBorders>
              <w:top w:val="nil"/>
              <w:left w:val="nil"/>
              <w:bottom w:val="single" w:color="auto" w:sz="4" w:space="0"/>
              <w:right w:val="single" w:color="auto" w:sz="4" w:space="0"/>
            </w:tcBorders>
            <w:shd w:val="clear" w:color="auto" w:fill="auto"/>
            <w:noWrap/>
            <w:vAlign w:val="center"/>
          </w:tcPr>
          <w:p w14:paraId="6DD524FC">
            <w:pPr>
              <w:rPr>
                <w:rFonts w:hint="eastAsia" w:ascii="宋体" w:hAnsi="宋体" w:cs="宋体"/>
                <w:color w:val="auto"/>
                <w:szCs w:val="21"/>
              </w:rPr>
            </w:pPr>
            <w:r>
              <w:rPr>
                <w:rFonts w:hint="eastAsia" w:ascii="宋体" w:hAnsi="宋体" w:cs="宋体"/>
                <w:color w:val="auto"/>
                <w:szCs w:val="21"/>
              </w:rPr>
              <w:t>G17是胃窦G细胞分泌，是辅助诊断胃黏膜疾病的核心指标。</w:t>
            </w:r>
          </w:p>
        </w:tc>
        <w:tc>
          <w:tcPr>
            <w:tcW w:w="500" w:type="pct"/>
            <w:tcBorders>
              <w:top w:val="nil"/>
              <w:left w:val="nil"/>
              <w:bottom w:val="single" w:color="auto" w:sz="4" w:space="0"/>
              <w:right w:val="single" w:color="auto" w:sz="4" w:space="0"/>
            </w:tcBorders>
            <w:shd w:val="clear" w:color="auto" w:fill="auto"/>
            <w:noWrap/>
            <w:vAlign w:val="center"/>
          </w:tcPr>
          <w:p w14:paraId="56544341">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34CF1A3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BEDFBC2">
            <w:pPr>
              <w:jc w:val="center"/>
              <w:rPr>
                <w:rFonts w:hint="eastAsia" w:ascii="宋体" w:hAnsi="宋体" w:cs="宋体"/>
                <w:color w:val="auto"/>
                <w:szCs w:val="21"/>
              </w:rPr>
            </w:pPr>
            <w:r>
              <w:rPr>
                <w:rFonts w:hint="eastAsia" w:ascii="宋体" w:hAnsi="宋体" w:cs="宋体"/>
                <w:color w:val="auto"/>
                <w:szCs w:val="21"/>
              </w:rPr>
              <w:t>√</w:t>
            </w:r>
          </w:p>
        </w:tc>
      </w:tr>
      <w:tr w14:paraId="4B0EF390">
        <w:tblPrEx>
          <w:tblCellMar>
            <w:top w:w="0" w:type="dxa"/>
            <w:left w:w="108" w:type="dxa"/>
            <w:bottom w:w="0" w:type="dxa"/>
            <w:right w:w="108" w:type="dxa"/>
          </w:tblCellMar>
        </w:tblPrEx>
        <w:trPr>
          <w:trHeight w:val="522"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412015">
            <w:pPr>
              <w:jc w:val="center"/>
              <w:rPr>
                <w:rFonts w:hint="eastAsia" w:ascii="宋体" w:hAnsi="宋体" w:cs="宋体"/>
                <w:color w:val="auto"/>
                <w:szCs w:val="21"/>
              </w:rPr>
            </w:pPr>
            <w:r>
              <w:rPr>
                <w:rFonts w:hint="eastAsia" w:ascii="宋体" w:hAnsi="宋体" w:cs="宋体"/>
                <w:color w:val="auto"/>
                <w:szCs w:val="21"/>
              </w:rPr>
              <w:t>空腹血糖</w:t>
            </w:r>
          </w:p>
        </w:tc>
        <w:tc>
          <w:tcPr>
            <w:tcW w:w="2777" w:type="pct"/>
            <w:tcBorders>
              <w:top w:val="nil"/>
              <w:left w:val="nil"/>
              <w:bottom w:val="single" w:color="auto" w:sz="4" w:space="0"/>
              <w:right w:val="single" w:color="auto" w:sz="4" w:space="0"/>
            </w:tcBorders>
            <w:shd w:val="clear" w:color="auto" w:fill="auto"/>
            <w:noWrap/>
            <w:vAlign w:val="center"/>
          </w:tcPr>
          <w:p w14:paraId="5063618E">
            <w:pPr>
              <w:rPr>
                <w:rFonts w:hint="eastAsia" w:ascii="宋体" w:hAnsi="宋体" w:cs="宋体"/>
                <w:color w:val="auto"/>
                <w:szCs w:val="21"/>
              </w:rPr>
            </w:pPr>
            <w:r>
              <w:rPr>
                <w:rFonts w:hint="eastAsia" w:ascii="宋体" w:hAnsi="宋体" w:cs="宋体"/>
                <w:color w:val="auto"/>
                <w:szCs w:val="21"/>
              </w:rPr>
              <w:t>判断低血糖、糖尿病及了解血糖控制情况等</w:t>
            </w:r>
          </w:p>
        </w:tc>
        <w:tc>
          <w:tcPr>
            <w:tcW w:w="500" w:type="pct"/>
            <w:tcBorders>
              <w:top w:val="nil"/>
              <w:left w:val="nil"/>
              <w:bottom w:val="single" w:color="auto" w:sz="4" w:space="0"/>
              <w:right w:val="single" w:color="auto" w:sz="4" w:space="0"/>
            </w:tcBorders>
            <w:shd w:val="clear" w:color="auto" w:fill="auto"/>
            <w:noWrap/>
            <w:vAlign w:val="center"/>
          </w:tcPr>
          <w:p w14:paraId="242BF7C2">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630F71C7">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46B4A53">
            <w:pPr>
              <w:jc w:val="center"/>
              <w:rPr>
                <w:rFonts w:hint="eastAsia" w:ascii="宋体" w:hAnsi="宋体" w:cs="宋体"/>
                <w:color w:val="auto"/>
                <w:szCs w:val="21"/>
              </w:rPr>
            </w:pPr>
            <w:r>
              <w:rPr>
                <w:rFonts w:hint="eastAsia" w:ascii="宋体" w:hAnsi="宋体" w:cs="宋体"/>
                <w:color w:val="auto"/>
                <w:szCs w:val="21"/>
              </w:rPr>
              <w:t>√</w:t>
            </w:r>
          </w:p>
        </w:tc>
      </w:tr>
      <w:tr w14:paraId="2537AC20">
        <w:tblPrEx>
          <w:tblCellMar>
            <w:top w:w="0" w:type="dxa"/>
            <w:left w:w="108" w:type="dxa"/>
            <w:bottom w:w="0" w:type="dxa"/>
            <w:right w:w="108" w:type="dxa"/>
          </w:tblCellMar>
        </w:tblPrEx>
        <w:trPr>
          <w:trHeight w:val="60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6C1C33">
            <w:pPr>
              <w:jc w:val="center"/>
              <w:rPr>
                <w:rFonts w:hint="eastAsia" w:ascii="宋体" w:hAnsi="宋体" w:cs="宋体"/>
                <w:color w:val="auto"/>
                <w:szCs w:val="21"/>
              </w:rPr>
            </w:pPr>
            <w:r>
              <w:rPr>
                <w:rFonts w:hint="eastAsia" w:ascii="宋体" w:hAnsi="宋体" w:cs="宋体"/>
                <w:color w:val="auto"/>
                <w:szCs w:val="21"/>
              </w:rPr>
              <w:t>糖化血红蛋白（HbA1C）</w:t>
            </w:r>
          </w:p>
        </w:tc>
        <w:tc>
          <w:tcPr>
            <w:tcW w:w="2777" w:type="pct"/>
            <w:tcBorders>
              <w:top w:val="nil"/>
              <w:left w:val="nil"/>
              <w:bottom w:val="single" w:color="auto" w:sz="4" w:space="0"/>
              <w:right w:val="single" w:color="auto" w:sz="4" w:space="0"/>
            </w:tcBorders>
            <w:shd w:val="clear" w:color="auto" w:fill="auto"/>
            <w:noWrap/>
            <w:vAlign w:val="center"/>
          </w:tcPr>
          <w:p w14:paraId="360E7418">
            <w:pPr>
              <w:rPr>
                <w:rFonts w:hint="eastAsia" w:ascii="宋体" w:hAnsi="宋体" w:cs="宋体"/>
                <w:color w:val="auto"/>
                <w:szCs w:val="21"/>
              </w:rPr>
            </w:pPr>
            <w:r>
              <w:rPr>
                <w:rFonts w:hint="eastAsia" w:ascii="宋体" w:hAnsi="宋体" w:cs="宋体"/>
                <w:color w:val="auto"/>
                <w:szCs w:val="21"/>
              </w:rPr>
              <w:t>糖尿病的筛选，诊断血糖控制疗效监测的有效检测指标</w:t>
            </w:r>
          </w:p>
        </w:tc>
        <w:tc>
          <w:tcPr>
            <w:tcW w:w="500" w:type="pct"/>
            <w:tcBorders>
              <w:top w:val="nil"/>
              <w:left w:val="nil"/>
              <w:bottom w:val="single" w:color="auto" w:sz="4" w:space="0"/>
              <w:right w:val="single" w:color="auto" w:sz="4" w:space="0"/>
            </w:tcBorders>
            <w:shd w:val="clear" w:color="auto" w:fill="auto"/>
            <w:noWrap/>
            <w:vAlign w:val="center"/>
          </w:tcPr>
          <w:p w14:paraId="29BCB49E">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1BDA4F71">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FD67AA8">
            <w:pPr>
              <w:jc w:val="center"/>
              <w:rPr>
                <w:rFonts w:hint="eastAsia" w:ascii="宋体" w:hAnsi="宋体" w:cs="宋体"/>
                <w:color w:val="auto"/>
                <w:szCs w:val="21"/>
              </w:rPr>
            </w:pPr>
            <w:r>
              <w:rPr>
                <w:rFonts w:hint="eastAsia" w:ascii="宋体" w:hAnsi="宋体" w:cs="宋体"/>
                <w:color w:val="auto"/>
                <w:szCs w:val="21"/>
              </w:rPr>
              <w:t>√</w:t>
            </w:r>
          </w:p>
        </w:tc>
      </w:tr>
      <w:tr w14:paraId="72311B6E">
        <w:tblPrEx>
          <w:tblCellMar>
            <w:top w:w="0" w:type="dxa"/>
            <w:left w:w="108" w:type="dxa"/>
            <w:bottom w:w="0" w:type="dxa"/>
            <w:right w:w="108" w:type="dxa"/>
          </w:tblCellMar>
        </w:tblPrEx>
        <w:trPr>
          <w:trHeight w:val="90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08348D">
            <w:pPr>
              <w:jc w:val="center"/>
              <w:rPr>
                <w:rFonts w:hint="eastAsia" w:ascii="宋体" w:hAnsi="宋体" w:cs="宋体"/>
                <w:color w:val="auto"/>
                <w:szCs w:val="21"/>
              </w:rPr>
            </w:pPr>
            <w:r>
              <w:rPr>
                <w:rFonts w:hint="eastAsia" w:ascii="宋体" w:hAnsi="宋体" w:cs="宋体"/>
                <w:color w:val="auto"/>
                <w:szCs w:val="21"/>
              </w:rPr>
              <w:t>血常规五分类</w:t>
            </w:r>
          </w:p>
        </w:tc>
        <w:tc>
          <w:tcPr>
            <w:tcW w:w="2777" w:type="pct"/>
            <w:tcBorders>
              <w:top w:val="nil"/>
              <w:left w:val="nil"/>
              <w:bottom w:val="single" w:color="auto" w:sz="4" w:space="0"/>
              <w:right w:val="single" w:color="auto" w:sz="4" w:space="0"/>
            </w:tcBorders>
            <w:shd w:val="clear" w:color="auto" w:fill="auto"/>
            <w:noWrap/>
            <w:vAlign w:val="center"/>
          </w:tcPr>
          <w:p w14:paraId="5E684D7F">
            <w:pPr>
              <w:rPr>
                <w:rFonts w:hint="eastAsia" w:ascii="宋体" w:hAnsi="宋体" w:cs="宋体"/>
                <w:color w:val="auto"/>
                <w:szCs w:val="21"/>
              </w:rPr>
            </w:pPr>
            <w:r>
              <w:rPr>
                <w:rFonts w:hint="eastAsia" w:ascii="宋体" w:hAnsi="宋体" w:cs="宋体"/>
                <w:color w:val="auto"/>
                <w:szCs w:val="21"/>
              </w:rPr>
              <w:t>血液中有形成分分析；有无贫血、感染及白细胞减少、血小板减少等</w:t>
            </w:r>
          </w:p>
        </w:tc>
        <w:tc>
          <w:tcPr>
            <w:tcW w:w="500" w:type="pct"/>
            <w:tcBorders>
              <w:top w:val="nil"/>
              <w:left w:val="nil"/>
              <w:bottom w:val="single" w:color="auto" w:sz="4" w:space="0"/>
              <w:right w:val="single" w:color="auto" w:sz="4" w:space="0"/>
            </w:tcBorders>
            <w:shd w:val="clear" w:color="auto" w:fill="auto"/>
            <w:noWrap/>
            <w:vAlign w:val="center"/>
          </w:tcPr>
          <w:p w14:paraId="1E65307F">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3A1AA24F">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9E3B4F3">
            <w:pPr>
              <w:jc w:val="center"/>
              <w:rPr>
                <w:rFonts w:hint="eastAsia" w:ascii="宋体" w:hAnsi="宋体" w:cs="宋体"/>
                <w:color w:val="auto"/>
                <w:szCs w:val="21"/>
              </w:rPr>
            </w:pPr>
            <w:r>
              <w:rPr>
                <w:rFonts w:hint="eastAsia" w:ascii="宋体" w:hAnsi="宋体" w:cs="宋体"/>
                <w:color w:val="auto"/>
                <w:szCs w:val="21"/>
              </w:rPr>
              <w:t>√</w:t>
            </w:r>
          </w:p>
        </w:tc>
      </w:tr>
      <w:tr w14:paraId="5D5D2B9D">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nil"/>
              <w:right w:val="single" w:color="auto" w:sz="4" w:space="0"/>
            </w:tcBorders>
            <w:shd w:val="clear" w:color="auto" w:fill="auto"/>
            <w:noWrap/>
            <w:vAlign w:val="center"/>
          </w:tcPr>
          <w:p w14:paraId="62289B60">
            <w:pPr>
              <w:jc w:val="center"/>
              <w:rPr>
                <w:rFonts w:hint="eastAsia" w:ascii="宋体" w:hAnsi="宋体" w:cs="宋体"/>
                <w:color w:val="auto"/>
                <w:szCs w:val="21"/>
              </w:rPr>
            </w:pPr>
            <w:r>
              <w:rPr>
                <w:rFonts w:hint="eastAsia" w:ascii="宋体" w:hAnsi="宋体" w:cs="宋体"/>
                <w:color w:val="auto"/>
                <w:szCs w:val="21"/>
              </w:rPr>
              <w:t>尿液分析</w:t>
            </w:r>
          </w:p>
        </w:tc>
        <w:tc>
          <w:tcPr>
            <w:tcW w:w="2777" w:type="pct"/>
            <w:tcBorders>
              <w:top w:val="nil"/>
              <w:left w:val="nil"/>
              <w:bottom w:val="single" w:color="auto" w:sz="4" w:space="0"/>
              <w:right w:val="single" w:color="auto" w:sz="4" w:space="0"/>
            </w:tcBorders>
            <w:shd w:val="clear" w:color="auto" w:fill="auto"/>
            <w:noWrap/>
            <w:vAlign w:val="center"/>
          </w:tcPr>
          <w:p w14:paraId="1821E05C">
            <w:pPr>
              <w:rPr>
                <w:rFonts w:hint="eastAsia" w:ascii="宋体" w:hAnsi="宋体" w:cs="宋体"/>
                <w:color w:val="auto"/>
                <w:szCs w:val="21"/>
              </w:rPr>
            </w:pPr>
            <w:r>
              <w:rPr>
                <w:rFonts w:hint="eastAsia" w:ascii="宋体" w:hAnsi="宋体" w:cs="宋体"/>
                <w:color w:val="auto"/>
                <w:szCs w:val="21"/>
              </w:rPr>
              <w:t>了解泌尿系统有无炎症，有无尿糖、尿蛋白异常等</w:t>
            </w:r>
          </w:p>
        </w:tc>
        <w:tc>
          <w:tcPr>
            <w:tcW w:w="500" w:type="pct"/>
            <w:tcBorders>
              <w:top w:val="nil"/>
              <w:left w:val="nil"/>
              <w:bottom w:val="single" w:color="auto" w:sz="4" w:space="0"/>
              <w:right w:val="single" w:color="auto" w:sz="4" w:space="0"/>
            </w:tcBorders>
            <w:shd w:val="clear" w:color="auto" w:fill="auto"/>
            <w:noWrap/>
            <w:vAlign w:val="center"/>
          </w:tcPr>
          <w:p w14:paraId="3C404A19">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0A287969">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4EF6687C">
            <w:pPr>
              <w:jc w:val="center"/>
              <w:rPr>
                <w:rFonts w:hint="eastAsia" w:ascii="宋体" w:hAnsi="宋体" w:cs="宋体"/>
                <w:color w:val="auto"/>
                <w:szCs w:val="21"/>
              </w:rPr>
            </w:pPr>
            <w:r>
              <w:rPr>
                <w:rFonts w:hint="eastAsia" w:ascii="宋体" w:hAnsi="宋体" w:cs="宋体"/>
                <w:color w:val="auto"/>
                <w:szCs w:val="21"/>
              </w:rPr>
              <w:t>√</w:t>
            </w:r>
          </w:p>
        </w:tc>
      </w:tr>
      <w:tr w14:paraId="0CEB1E9D">
        <w:tblPrEx>
          <w:tblCellMar>
            <w:top w:w="0" w:type="dxa"/>
            <w:left w:w="108" w:type="dxa"/>
            <w:bottom w:w="0" w:type="dxa"/>
            <w:right w:w="108" w:type="dxa"/>
          </w:tblCellMar>
        </w:tblPrEx>
        <w:trPr>
          <w:trHeight w:val="499"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FD24ED5">
            <w:pPr>
              <w:jc w:val="center"/>
              <w:rPr>
                <w:rFonts w:hint="eastAsia" w:ascii="宋体" w:hAnsi="宋体" w:cs="宋体"/>
                <w:color w:val="auto"/>
                <w:szCs w:val="21"/>
              </w:rPr>
            </w:pPr>
            <w:r>
              <w:rPr>
                <w:rFonts w:hint="eastAsia" w:ascii="宋体" w:hAnsi="宋体" w:cs="宋体"/>
                <w:color w:val="auto"/>
                <w:szCs w:val="21"/>
              </w:rPr>
              <w:t>C13呼气试验</w:t>
            </w:r>
          </w:p>
        </w:tc>
        <w:tc>
          <w:tcPr>
            <w:tcW w:w="2777" w:type="pct"/>
            <w:tcBorders>
              <w:top w:val="nil"/>
              <w:left w:val="nil"/>
              <w:bottom w:val="single" w:color="auto" w:sz="4" w:space="0"/>
              <w:right w:val="single" w:color="auto" w:sz="4" w:space="0"/>
            </w:tcBorders>
            <w:shd w:val="clear" w:color="auto" w:fill="auto"/>
            <w:noWrap/>
            <w:vAlign w:val="center"/>
          </w:tcPr>
          <w:p w14:paraId="100806D1">
            <w:pPr>
              <w:rPr>
                <w:rFonts w:hint="eastAsia" w:ascii="宋体" w:hAnsi="宋体" w:cs="宋体"/>
                <w:color w:val="auto"/>
                <w:szCs w:val="21"/>
              </w:rPr>
            </w:pPr>
            <w:r>
              <w:rPr>
                <w:rFonts w:hint="eastAsia" w:ascii="宋体" w:hAnsi="宋体" w:cs="宋体"/>
                <w:color w:val="auto"/>
                <w:szCs w:val="21"/>
              </w:rPr>
              <w:t>是检验是否感染幽门螺杆菌的金标准</w:t>
            </w:r>
          </w:p>
        </w:tc>
        <w:tc>
          <w:tcPr>
            <w:tcW w:w="500" w:type="pct"/>
            <w:tcBorders>
              <w:top w:val="nil"/>
              <w:left w:val="nil"/>
              <w:bottom w:val="single" w:color="auto" w:sz="4" w:space="0"/>
              <w:right w:val="single" w:color="auto" w:sz="4" w:space="0"/>
            </w:tcBorders>
            <w:shd w:val="clear" w:color="auto" w:fill="auto"/>
            <w:noWrap/>
            <w:vAlign w:val="center"/>
          </w:tcPr>
          <w:p w14:paraId="7B60A9C2">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1736A33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195AC70">
            <w:pPr>
              <w:jc w:val="center"/>
              <w:rPr>
                <w:rFonts w:hint="eastAsia" w:ascii="宋体" w:hAnsi="宋体" w:cs="宋体"/>
                <w:color w:val="auto"/>
                <w:szCs w:val="21"/>
              </w:rPr>
            </w:pPr>
            <w:r>
              <w:rPr>
                <w:rFonts w:hint="eastAsia" w:ascii="宋体" w:hAnsi="宋体" w:cs="宋体"/>
                <w:color w:val="auto"/>
                <w:szCs w:val="21"/>
              </w:rPr>
              <w:t>√</w:t>
            </w:r>
          </w:p>
        </w:tc>
      </w:tr>
      <w:tr w14:paraId="0C81E786">
        <w:tblPrEx>
          <w:tblCellMar>
            <w:top w:w="0" w:type="dxa"/>
            <w:left w:w="108" w:type="dxa"/>
            <w:bottom w:w="0" w:type="dxa"/>
            <w:right w:w="108" w:type="dxa"/>
          </w:tblCellMar>
        </w:tblPrEx>
        <w:trPr>
          <w:trHeight w:val="540" w:hRule="atLeast"/>
        </w:trPr>
        <w:tc>
          <w:tcPr>
            <w:tcW w:w="4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71DBDD">
            <w:pPr>
              <w:jc w:val="center"/>
              <w:rPr>
                <w:rFonts w:hint="eastAsia" w:ascii="宋体" w:hAnsi="宋体" w:cs="宋体"/>
                <w:color w:val="auto"/>
                <w:szCs w:val="21"/>
              </w:rPr>
            </w:pPr>
            <w:r>
              <w:rPr>
                <w:rFonts w:hint="eastAsia" w:ascii="宋体" w:hAnsi="宋体" w:cs="宋体"/>
                <w:color w:val="auto"/>
                <w:szCs w:val="21"/>
              </w:rPr>
              <w:t>肿瘤标志物检测</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450D8">
            <w:pPr>
              <w:jc w:val="center"/>
              <w:rPr>
                <w:rFonts w:hint="eastAsia" w:ascii="宋体" w:hAnsi="宋体" w:cs="宋体"/>
                <w:color w:val="auto"/>
                <w:szCs w:val="21"/>
              </w:rPr>
            </w:pPr>
            <w:r>
              <w:rPr>
                <w:rFonts w:hint="eastAsia" w:ascii="宋体" w:hAnsi="宋体" w:cs="宋体"/>
                <w:color w:val="auto"/>
                <w:szCs w:val="21"/>
              </w:rPr>
              <w:t>甲胎蛋白</w:t>
            </w:r>
          </w:p>
        </w:tc>
        <w:tc>
          <w:tcPr>
            <w:tcW w:w="2777" w:type="pct"/>
            <w:tcBorders>
              <w:top w:val="single" w:color="auto" w:sz="4" w:space="0"/>
              <w:left w:val="nil"/>
              <w:bottom w:val="single" w:color="auto" w:sz="4" w:space="0"/>
              <w:right w:val="nil"/>
            </w:tcBorders>
            <w:shd w:val="clear" w:color="auto" w:fill="auto"/>
            <w:noWrap/>
            <w:vAlign w:val="center"/>
          </w:tcPr>
          <w:p w14:paraId="06DEAB7E">
            <w:pPr>
              <w:ind w:firstLine="440"/>
              <w:rPr>
                <w:rFonts w:hint="eastAsia" w:ascii="宋体" w:hAnsi="宋体" w:cs="宋体"/>
                <w:color w:val="auto"/>
                <w:szCs w:val="21"/>
              </w:rPr>
            </w:pPr>
            <w:r>
              <w:rPr>
                <w:rFonts w:hint="eastAsia" w:ascii="宋体" w:hAnsi="宋体" w:cs="宋体"/>
                <w:color w:val="auto"/>
                <w:szCs w:val="21"/>
              </w:rPr>
              <w:t>用于原发性肝癌的诊断，疗效预后监测；畸胎瘤及胎儿畸形诊断。病毒性肝炎、肝硬化患者AFP也会有不同程度的升高。</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B0A43">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46A6B01A">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single" w:color="auto" w:sz="4" w:space="0"/>
              <w:left w:val="nil"/>
              <w:bottom w:val="single" w:color="auto" w:sz="4" w:space="0"/>
              <w:right w:val="single" w:color="auto" w:sz="4" w:space="0"/>
            </w:tcBorders>
            <w:shd w:val="clear" w:color="auto" w:fill="auto"/>
            <w:noWrap/>
            <w:vAlign w:val="center"/>
          </w:tcPr>
          <w:p w14:paraId="5A4A5971">
            <w:pPr>
              <w:jc w:val="center"/>
              <w:rPr>
                <w:rFonts w:hint="eastAsia" w:ascii="宋体" w:hAnsi="宋体" w:cs="宋体"/>
                <w:color w:val="auto"/>
                <w:szCs w:val="21"/>
              </w:rPr>
            </w:pPr>
            <w:r>
              <w:rPr>
                <w:rFonts w:hint="eastAsia" w:ascii="宋体" w:hAnsi="宋体" w:cs="宋体"/>
                <w:color w:val="auto"/>
                <w:szCs w:val="21"/>
              </w:rPr>
              <w:t>√</w:t>
            </w:r>
          </w:p>
        </w:tc>
      </w:tr>
      <w:tr w14:paraId="71C7B1C2">
        <w:tblPrEx>
          <w:tblCellMar>
            <w:top w:w="0" w:type="dxa"/>
            <w:left w:w="108" w:type="dxa"/>
            <w:bottom w:w="0" w:type="dxa"/>
            <w:right w:w="108" w:type="dxa"/>
          </w:tblCellMar>
        </w:tblPrEx>
        <w:trPr>
          <w:trHeight w:val="54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D2615F">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5B785">
            <w:pPr>
              <w:jc w:val="center"/>
              <w:rPr>
                <w:rFonts w:hint="eastAsia" w:ascii="宋体" w:hAnsi="宋体" w:cs="宋体"/>
                <w:color w:val="auto"/>
                <w:szCs w:val="21"/>
              </w:rPr>
            </w:pPr>
            <w:r>
              <w:rPr>
                <w:rFonts w:hint="eastAsia" w:ascii="宋体" w:hAnsi="宋体" w:cs="宋体"/>
                <w:color w:val="auto"/>
                <w:szCs w:val="21"/>
              </w:rPr>
              <w:t>癌胚抗原</w:t>
            </w:r>
          </w:p>
        </w:tc>
        <w:tc>
          <w:tcPr>
            <w:tcW w:w="2777" w:type="pct"/>
            <w:tcBorders>
              <w:top w:val="single" w:color="auto" w:sz="4" w:space="0"/>
              <w:left w:val="nil"/>
              <w:bottom w:val="single" w:color="auto" w:sz="4" w:space="0"/>
              <w:right w:val="nil"/>
            </w:tcBorders>
            <w:shd w:val="clear" w:color="auto" w:fill="auto"/>
            <w:noWrap/>
            <w:vAlign w:val="center"/>
          </w:tcPr>
          <w:p w14:paraId="570B798C">
            <w:pPr>
              <w:ind w:firstLine="440"/>
              <w:rPr>
                <w:rFonts w:hint="eastAsia" w:ascii="宋体" w:hAnsi="宋体" w:cs="宋体"/>
                <w:color w:val="auto"/>
                <w:szCs w:val="21"/>
              </w:rPr>
            </w:pPr>
            <w:r>
              <w:rPr>
                <w:rFonts w:hint="eastAsia" w:ascii="宋体" w:hAnsi="宋体" w:cs="宋体"/>
                <w:color w:val="auto"/>
                <w:szCs w:val="21"/>
              </w:rPr>
              <w:t>是肺癌和肠癌的首选标志物，用于肺癌、子宫、乳腺、消化系统肿瘤、肝转移癌等诊断和治疗、复发监测、判断预后。</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C8939">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77DB9DDE">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single" w:color="auto" w:sz="4" w:space="0"/>
              <w:left w:val="nil"/>
              <w:bottom w:val="single" w:color="auto" w:sz="4" w:space="0"/>
              <w:right w:val="single" w:color="auto" w:sz="4" w:space="0"/>
            </w:tcBorders>
            <w:shd w:val="clear" w:color="auto" w:fill="auto"/>
            <w:noWrap/>
            <w:vAlign w:val="center"/>
          </w:tcPr>
          <w:p w14:paraId="5DFDE532">
            <w:pPr>
              <w:jc w:val="center"/>
              <w:rPr>
                <w:rFonts w:hint="eastAsia" w:ascii="宋体" w:hAnsi="宋体" w:cs="宋体"/>
                <w:color w:val="auto"/>
                <w:szCs w:val="21"/>
              </w:rPr>
            </w:pPr>
            <w:r>
              <w:rPr>
                <w:rFonts w:hint="eastAsia" w:ascii="宋体" w:hAnsi="宋体" w:cs="宋体"/>
                <w:color w:val="auto"/>
                <w:szCs w:val="21"/>
              </w:rPr>
              <w:t>√</w:t>
            </w:r>
          </w:p>
        </w:tc>
      </w:tr>
      <w:tr w14:paraId="18ACC51E">
        <w:tblPrEx>
          <w:tblCellMar>
            <w:top w:w="0" w:type="dxa"/>
            <w:left w:w="108" w:type="dxa"/>
            <w:bottom w:w="0" w:type="dxa"/>
            <w:right w:w="108" w:type="dxa"/>
          </w:tblCellMar>
        </w:tblPrEx>
        <w:trPr>
          <w:trHeight w:val="54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5D2E4">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ECE7D">
            <w:pPr>
              <w:jc w:val="center"/>
              <w:rPr>
                <w:rFonts w:hint="eastAsia" w:ascii="宋体" w:hAnsi="宋体" w:cs="宋体"/>
                <w:color w:val="auto"/>
                <w:szCs w:val="21"/>
              </w:rPr>
            </w:pPr>
            <w:r>
              <w:rPr>
                <w:rFonts w:hint="eastAsia" w:ascii="宋体" w:hAnsi="宋体" w:cs="宋体"/>
                <w:color w:val="auto"/>
                <w:szCs w:val="21"/>
              </w:rPr>
              <w:t>总前列腺抗原（男）</w:t>
            </w:r>
          </w:p>
        </w:tc>
        <w:tc>
          <w:tcPr>
            <w:tcW w:w="2777" w:type="pct"/>
            <w:tcBorders>
              <w:top w:val="nil"/>
              <w:left w:val="nil"/>
              <w:bottom w:val="single" w:color="auto" w:sz="4" w:space="0"/>
              <w:right w:val="nil"/>
            </w:tcBorders>
            <w:shd w:val="clear" w:color="auto" w:fill="auto"/>
            <w:noWrap/>
            <w:vAlign w:val="center"/>
          </w:tcPr>
          <w:p w14:paraId="11BE054F">
            <w:pPr>
              <w:rPr>
                <w:rFonts w:hint="eastAsia" w:ascii="宋体" w:hAnsi="宋体" w:cs="宋体"/>
                <w:color w:val="auto"/>
                <w:szCs w:val="21"/>
              </w:rPr>
            </w:pPr>
            <w:r>
              <w:rPr>
                <w:rFonts w:hint="eastAsia" w:ascii="宋体" w:hAnsi="宋体" w:cs="宋体"/>
                <w:color w:val="auto"/>
                <w:szCs w:val="21"/>
              </w:rPr>
              <w:t>前列腺癌的特异性标志物，前列腺肥大、前列腺炎或前列腺按摩后也可轻度增高。</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4EDF00F0">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E462FB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159993F">
            <w:pPr>
              <w:jc w:val="center"/>
              <w:rPr>
                <w:rFonts w:hint="eastAsia" w:ascii="宋体" w:hAnsi="宋体" w:cs="宋体"/>
                <w:color w:val="auto"/>
                <w:szCs w:val="21"/>
              </w:rPr>
            </w:pPr>
            <w:r>
              <w:rPr>
                <w:rFonts w:hint="eastAsia" w:ascii="宋体" w:hAnsi="宋体" w:cs="宋体"/>
                <w:color w:val="auto"/>
                <w:szCs w:val="21"/>
              </w:rPr>
              <w:t>×</w:t>
            </w:r>
          </w:p>
        </w:tc>
      </w:tr>
      <w:tr w14:paraId="15490B5E">
        <w:tblPrEx>
          <w:tblCellMar>
            <w:top w:w="0" w:type="dxa"/>
            <w:left w:w="108" w:type="dxa"/>
            <w:bottom w:w="0" w:type="dxa"/>
            <w:right w:w="108" w:type="dxa"/>
          </w:tblCellMar>
        </w:tblPrEx>
        <w:trPr>
          <w:trHeight w:val="33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F309FD">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50831">
            <w:pPr>
              <w:jc w:val="center"/>
              <w:rPr>
                <w:rFonts w:hint="eastAsia" w:ascii="宋体" w:hAnsi="宋体" w:cs="宋体"/>
                <w:color w:val="auto"/>
                <w:szCs w:val="21"/>
              </w:rPr>
            </w:pPr>
            <w:r>
              <w:rPr>
                <w:rFonts w:hint="eastAsia" w:ascii="宋体" w:hAnsi="宋体" w:cs="宋体"/>
                <w:color w:val="auto"/>
                <w:szCs w:val="21"/>
              </w:rPr>
              <w:t>糖类抗原CA199（男）</w:t>
            </w:r>
          </w:p>
        </w:tc>
        <w:tc>
          <w:tcPr>
            <w:tcW w:w="2777" w:type="pct"/>
            <w:tcBorders>
              <w:top w:val="nil"/>
              <w:left w:val="nil"/>
              <w:bottom w:val="single" w:color="auto" w:sz="4" w:space="0"/>
              <w:right w:val="single" w:color="auto" w:sz="4" w:space="0"/>
            </w:tcBorders>
            <w:shd w:val="clear" w:color="auto" w:fill="auto"/>
            <w:noWrap/>
            <w:vAlign w:val="center"/>
          </w:tcPr>
          <w:p w14:paraId="36903299">
            <w:pPr>
              <w:rPr>
                <w:rFonts w:hint="eastAsia" w:ascii="宋体" w:hAnsi="宋体" w:cs="宋体"/>
                <w:color w:val="auto"/>
                <w:szCs w:val="21"/>
              </w:rPr>
            </w:pPr>
            <w:r>
              <w:rPr>
                <w:rFonts w:hint="eastAsia" w:ascii="宋体" w:hAnsi="宋体" w:cs="宋体"/>
                <w:color w:val="auto"/>
                <w:szCs w:val="21"/>
              </w:rPr>
              <w:t>用于胰腺癌、胆囊癌、胃癌等肿瘤的辅助诊断及疗效观察</w:t>
            </w:r>
          </w:p>
        </w:tc>
        <w:tc>
          <w:tcPr>
            <w:tcW w:w="500" w:type="pct"/>
            <w:tcBorders>
              <w:top w:val="nil"/>
              <w:left w:val="nil"/>
              <w:bottom w:val="single" w:color="auto" w:sz="4" w:space="0"/>
              <w:right w:val="single" w:color="auto" w:sz="4" w:space="0"/>
            </w:tcBorders>
            <w:shd w:val="clear" w:color="auto" w:fill="auto"/>
            <w:noWrap/>
            <w:vAlign w:val="center"/>
          </w:tcPr>
          <w:p w14:paraId="7D56752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5AD5378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401EF1C">
            <w:pPr>
              <w:jc w:val="center"/>
              <w:rPr>
                <w:rFonts w:hint="eastAsia" w:ascii="宋体" w:hAnsi="宋体" w:cs="宋体"/>
                <w:color w:val="auto"/>
                <w:szCs w:val="21"/>
              </w:rPr>
            </w:pPr>
            <w:r>
              <w:rPr>
                <w:rFonts w:hint="eastAsia" w:ascii="宋体" w:hAnsi="宋体" w:cs="宋体"/>
                <w:color w:val="auto"/>
                <w:szCs w:val="21"/>
              </w:rPr>
              <w:t>×</w:t>
            </w:r>
          </w:p>
        </w:tc>
      </w:tr>
      <w:tr w14:paraId="2240A90D">
        <w:tblPrEx>
          <w:tblCellMar>
            <w:top w:w="0" w:type="dxa"/>
            <w:left w:w="108" w:type="dxa"/>
            <w:bottom w:w="0" w:type="dxa"/>
            <w:right w:w="108" w:type="dxa"/>
          </w:tblCellMar>
        </w:tblPrEx>
        <w:trPr>
          <w:trHeight w:val="54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8BAF8F">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6AAE8">
            <w:pPr>
              <w:jc w:val="center"/>
              <w:rPr>
                <w:rFonts w:hint="eastAsia" w:ascii="宋体" w:hAnsi="宋体" w:cs="宋体"/>
                <w:color w:val="auto"/>
                <w:szCs w:val="21"/>
              </w:rPr>
            </w:pPr>
            <w:r>
              <w:rPr>
                <w:rFonts w:hint="eastAsia" w:ascii="宋体" w:hAnsi="宋体" w:cs="宋体"/>
                <w:color w:val="auto"/>
                <w:szCs w:val="21"/>
              </w:rPr>
              <w:t>糖类抗原CA15-3(女）</w:t>
            </w:r>
          </w:p>
        </w:tc>
        <w:tc>
          <w:tcPr>
            <w:tcW w:w="2777" w:type="pct"/>
            <w:tcBorders>
              <w:top w:val="nil"/>
              <w:left w:val="nil"/>
              <w:bottom w:val="single" w:color="auto" w:sz="4" w:space="0"/>
              <w:right w:val="nil"/>
            </w:tcBorders>
            <w:shd w:val="clear" w:color="auto" w:fill="auto"/>
            <w:noWrap/>
            <w:vAlign w:val="center"/>
          </w:tcPr>
          <w:p w14:paraId="7E09AB4B">
            <w:pPr>
              <w:rPr>
                <w:rFonts w:hint="eastAsia" w:ascii="宋体" w:hAnsi="宋体" w:cs="宋体"/>
                <w:color w:val="auto"/>
                <w:szCs w:val="21"/>
              </w:rPr>
            </w:pPr>
            <w:r>
              <w:rPr>
                <w:rFonts w:hint="eastAsia" w:ascii="宋体" w:hAnsi="宋体" w:cs="宋体"/>
                <w:color w:val="auto"/>
                <w:szCs w:val="21"/>
              </w:rPr>
              <w:t>乳腺癌的首选标志物，其他如转移性卵巢癌、结肠癌、肝癌、胆管癌、胰腺癌、肺癌等也有不同程度的增高。</w:t>
            </w:r>
          </w:p>
        </w:tc>
        <w:tc>
          <w:tcPr>
            <w:tcW w:w="500" w:type="pct"/>
            <w:tcBorders>
              <w:top w:val="nil"/>
              <w:left w:val="single" w:color="auto" w:sz="4" w:space="0"/>
              <w:bottom w:val="single" w:color="auto" w:sz="4" w:space="0"/>
              <w:right w:val="single" w:color="auto" w:sz="4" w:space="0"/>
            </w:tcBorders>
            <w:shd w:val="clear" w:color="auto" w:fill="auto"/>
            <w:noWrap/>
            <w:vAlign w:val="center"/>
          </w:tcPr>
          <w:p w14:paraId="5072403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13909F5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6FAD99A2">
            <w:pPr>
              <w:jc w:val="center"/>
              <w:rPr>
                <w:rFonts w:hint="eastAsia" w:ascii="宋体" w:hAnsi="宋体" w:cs="宋体"/>
                <w:color w:val="auto"/>
                <w:szCs w:val="21"/>
              </w:rPr>
            </w:pPr>
            <w:r>
              <w:rPr>
                <w:rFonts w:hint="eastAsia" w:ascii="宋体" w:hAnsi="宋体" w:cs="宋体"/>
                <w:color w:val="auto"/>
                <w:szCs w:val="21"/>
              </w:rPr>
              <w:t>√</w:t>
            </w:r>
          </w:p>
        </w:tc>
      </w:tr>
      <w:tr w14:paraId="4111C293">
        <w:tblPrEx>
          <w:tblCellMar>
            <w:top w:w="0" w:type="dxa"/>
            <w:left w:w="108" w:type="dxa"/>
            <w:bottom w:w="0" w:type="dxa"/>
            <w:right w:w="108" w:type="dxa"/>
          </w:tblCellMar>
        </w:tblPrEx>
        <w:trPr>
          <w:trHeight w:val="330" w:hRule="atLeast"/>
        </w:trPr>
        <w:tc>
          <w:tcPr>
            <w:tcW w:w="407" w:type="pct"/>
            <w:vMerge w:val="continue"/>
            <w:tcBorders>
              <w:top w:val="single" w:color="auto" w:sz="4" w:space="0"/>
              <w:left w:val="single" w:color="auto" w:sz="4" w:space="0"/>
              <w:bottom w:val="single" w:color="auto" w:sz="4" w:space="0"/>
              <w:right w:val="nil"/>
            </w:tcBorders>
            <w:shd w:val="clear" w:color="auto" w:fill="auto"/>
            <w:noWrap/>
            <w:vAlign w:val="center"/>
          </w:tcPr>
          <w:p w14:paraId="0F643D06">
            <w:pPr>
              <w:rPr>
                <w:rFonts w:hint="eastAsia" w:ascii="宋体" w:hAnsi="宋体" w:cs="宋体"/>
                <w:color w:val="auto"/>
                <w:szCs w:val="21"/>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F3C8F">
            <w:pPr>
              <w:jc w:val="center"/>
              <w:rPr>
                <w:rFonts w:hint="eastAsia" w:ascii="宋体" w:hAnsi="宋体" w:cs="宋体"/>
                <w:color w:val="auto"/>
                <w:szCs w:val="21"/>
              </w:rPr>
            </w:pPr>
            <w:r>
              <w:rPr>
                <w:rFonts w:hint="eastAsia" w:ascii="宋体" w:hAnsi="宋体" w:cs="宋体"/>
                <w:color w:val="auto"/>
                <w:szCs w:val="21"/>
              </w:rPr>
              <w:t>糖类抗原CA199（女）</w:t>
            </w:r>
          </w:p>
        </w:tc>
        <w:tc>
          <w:tcPr>
            <w:tcW w:w="2777" w:type="pct"/>
            <w:tcBorders>
              <w:top w:val="nil"/>
              <w:left w:val="nil"/>
              <w:bottom w:val="single" w:color="auto" w:sz="4" w:space="0"/>
              <w:right w:val="single" w:color="auto" w:sz="4" w:space="0"/>
            </w:tcBorders>
            <w:shd w:val="clear" w:color="auto" w:fill="auto"/>
            <w:noWrap/>
            <w:vAlign w:val="center"/>
          </w:tcPr>
          <w:p w14:paraId="2533FCC0">
            <w:pPr>
              <w:rPr>
                <w:rFonts w:hint="eastAsia" w:ascii="宋体" w:hAnsi="宋体" w:cs="宋体"/>
                <w:color w:val="auto"/>
                <w:szCs w:val="21"/>
              </w:rPr>
            </w:pPr>
            <w:r>
              <w:rPr>
                <w:rFonts w:hint="eastAsia" w:ascii="宋体" w:hAnsi="宋体" w:cs="宋体"/>
                <w:color w:val="auto"/>
                <w:szCs w:val="21"/>
              </w:rPr>
              <w:t>用于胰腺癌、胆囊癌、胃癌等肿瘤的辅助诊断及疗效观察</w:t>
            </w:r>
          </w:p>
        </w:tc>
        <w:tc>
          <w:tcPr>
            <w:tcW w:w="500" w:type="pct"/>
            <w:tcBorders>
              <w:top w:val="nil"/>
              <w:left w:val="nil"/>
              <w:bottom w:val="single" w:color="auto" w:sz="4" w:space="0"/>
              <w:right w:val="single" w:color="auto" w:sz="4" w:space="0"/>
            </w:tcBorders>
            <w:shd w:val="clear" w:color="auto" w:fill="auto"/>
            <w:noWrap/>
            <w:vAlign w:val="center"/>
          </w:tcPr>
          <w:p w14:paraId="004887B9">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103C2374">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98EAC96">
            <w:pPr>
              <w:jc w:val="center"/>
              <w:rPr>
                <w:rFonts w:hint="eastAsia" w:ascii="宋体" w:hAnsi="宋体" w:cs="宋体"/>
                <w:color w:val="auto"/>
                <w:szCs w:val="21"/>
              </w:rPr>
            </w:pPr>
            <w:r>
              <w:rPr>
                <w:rFonts w:hint="eastAsia" w:ascii="宋体" w:hAnsi="宋体" w:cs="宋体"/>
                <w:color w:val="auto"/>
                <w:szCs w:val="21"/>
              </w:rPr>
              <w:t>√</w:t>
            </w:r>
          </w:p>
        </w:tc>
      </w:tr>
      <w:tr w14:paraId="7B88588F">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FD9F07">
            <w:pPr>
              <w:jc w:val="center"/>
              <w:rPr>
                <w:rFonts w:hint="eastAsia" w:ascii="宋体" w:hAnsi="宋体" w:cs="宋体"/>
                <w:color w:val="auto"/>
                <w:szCs w:val="21"/>
              </w:rPr>
            </w:pPr>
            <w:r>
              <w:rPr>
                <w:rFonts w:hint="eastAsia" w:ascii="宋体" w:hAnsi="宋体" w:cs="宋体"/>
                <w:color w:val="auto"/>
                <w:szCs w:val="21"/>
              </w:rPr>
              <w:t>十二导联心电图</w:t>
            </w:r>
          </w:p>
        </w:tc>
        <w:tc>
          <w:tcPr>
            <w:tcW w:w="2777" w:type="pct"/>
            <w:tcBorders>
              <w:top w:val="nil"/>
              <w:left w:val="nil"/>
              <w:bottom w:val="single" w:color="auto" w:sz="4" w:space="0"/>
              <w:right w:val="single" w:color="auto" w:sz="4" w:space="0"/>
            </w:tcBorders>
            <w:shd w:val="clear" w:color="auto" w:fill="auto"/>
            <w:noWrap/>
            <w:vAlign w:val="center"/>
          </w:tcPr>
          <w:p w14:paraId="25315BAE">
            <w:pPr>
              <w:rPr>
                <w:rFonts w:hint="eastAsia" w:ascii="宋体" w:hAnsi="宋体" w:cs="宋体"/>
                <w:color w:val="auto"/>
                <w:szCs w:val="21"/>
              </w:rPr>
            </w:pPr>
            <w:r>
              <w:rPr>
                <w:rFonts w:hint="eastAsia" w:ascii="宋体" w:hAnsi="宋体" w:cs="宋体"/>
                <w:color w:val="auto"/>
                <w:szCs w:val="21"/>
              </w:rPr>
              <w:t>用于心律失常，心肌缺血、心肌梗塞、心房、心室肥大等诊断</w:t>
            </w:r>
          </w:p>
        </w:tc>
        <w:tc>
          <w:tcPr>
            <w:tcW w:w="500" w:type="pct"/>
            <w:tcBorders>
              <w:top w:val="nil"/>
              <w:left w:val="nil"/>
              <w:bottom w:val="single" w:color="auto" w:sz="4" w:space="0"/>
              <w:right w:val="single" w:color="auto" w:sz="4" w:space="0"/>
            </w:tcBorders>
            <w:shd w:val="clear" w:color="auto" w:fill="auto"/>
            <w:noWrap/>
            <w:vAlign w:val="center"/>
          </w:tcPr>
          <w:p w14:paraId="62652F73">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0560A1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81162A4">
            <w:pPr>
              <w:jc w:val="center"/>
              <w:rPr>
                <w:rFonts w:hint="eastAsia" w:ascii="宋体" w:hAnsi="宋体" w:cs="宋体"/>
                <w:color w:val="auto"/>
                <w:szCs w:val="21"/>
              </w:rPr>
            </w:pPr>
            <w:r>
              <w:rPr>
                <w:rFonts w:hint="eastAsia" w:ascii="宋体" w:hAnsi="宋体" w:cs="宋体"/>
                <w:color w:val="auto"/>
                <w:szCs w:val="21"/>
              </w:rPr>
              <w:t>√</w:t>
            </w:r>
          </w:p>
        </w:tc>
      </w:tr>
      <w:tr w14:paraId="4E15FE74">
        <w:tblPrEx>
          <w:tblCellMar>
            <w:top w:w="0" w:type="dxa"/>
            <w:left w:w="108" w:type="dxa"/>
            <w:bottom w:w="0" w:type="dxa"/>
            <w:right w:w="108" w:type="dxa"/>
          </w:tblCellMar>
        </w:tblPrEx>
        <w:trPr>
          <w:trHeight w:val="540" w:hRule="atLeast"/>
        </w:trPr>
        <w:tc>
          <w:tcPr>
            <w:tcW w:w="903" w:type="pct"/>
            <w:gridSpan w:val="2"/>
            <w:tcBorders>
              <w:top w:val="nil"/>
              <w:left w:val="single" w:color="auto" w:sz="4" w:space="0"/>
              <w:bottom w:val="single" w:color="auto" w:sz="4" w:space="0"/>
              <w:right w:val="single" w:color="auto" w:sz="4" w:space="0"/>
            </w:tcBorders>
            <w:shd w:val="clear" w:color="auto" w:fill="auto"/>
            <w:noWrap/>
            <w:vAlign w:val="center"/>
          </w:tcPr>
          <w:p w14:paraId="1A978802">
            <w:pPr>
              <w:jc w:val="center"/>
              <w:rPr>
                <w:rFonts w:hint="eastAsia" w:ascii="宋体" w:hAnsi="宋体" w:cs="宋体"/>
                <w:color w:val="auto"/>
                <w:szCs w:val="21"/>
              </w:rPr>
            </w:pPr>
            <w:r>
              <w:rPr>
                <w:rFonts w:hint="eastAsia" w:ascii="宋体" w:hAnsi="宋体" w:cs="宋体"/>
                <w:color w:val="auto"/>
                <w:szCs w:val="21"/>
              </w:rPr>
              <w:t>胸部CT （低剂量扫描）</w:t>
            </w:r>
          </w:p>
        </w:tc>
        <w:tc>
          <w:tcPr>
            <w:tcW w:w="2777" w:type="pct"/>
            <w:tcBorders>
              <w:top w:val="nil"/>
              <w:left w:val="nil"/>
              <w:bottom w:val="single" w:color="auto" w:sz="4" w:space="0"/>
              <w:right w:val="single" w:color="auto" w:sz="4" w:space="0"/>
            </w:tcBorders>
            <w:shd w:val="clear" w:color="auto" w:fill="auto"/>
            <w:noWrap/>
            <w:vAlign w:val="center"/>
          </w:tcPr>
          <w:p w14:paraId="3592AAD1">
            <w:pPr>
              <w:rPr>
                <w:rFonts w:hint="eastAsia" w:ascii="宋体" w:hAnsi="宋体" w:cs="宋体"/>
                <w:color w:val="auto"/>
                <w:szCs w:val="21"/>
              </w:rPr>
            </w:pPr>
            <w:r>
              <w:rPr>
                <w:rFonts w:hint="eastAsia" w:ascii="宋体" w:hAnsi="宋体" w:cs="宋体"/>
                <w:color w:val="auto"/>
                <w:szCs w:val="21"/>
              </w:rPr>
              <w:t>通过X线计算机体层摄影（CT）对胸部进行检查，发现早期微小病灶。</w:t>
            </w:r>
          </w:p>
        </w:tc>
        <w:tc>
          <w:tcPr>
            <w:tcW w:w="500" w:type="pct"/>
            <w:tcBorders>
              <w:top w:val="nil"/>
              <w:left w:val="nil"/>
              <w:bottom w:val="single" w:color="auto" w:sz="4" w:space="0"/>
              <w:right w:val="single" w:color="auto" w:sz="4" w:space="0"/>
            </w:tcBorders>
            <w:shd w:val="clear" w:color="auto" w:fill="auto"/>
            <w:noWrap/>
            <w:vAlign w:val="center"/>
          </w:tcPr>
          <w:p w14:paraId="1139E4AA">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0F731B6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087DCF01">
            <w:pPr>
              <w:jc w:val="center"/>
              <w:rPr>
                <w:rFonts w:hint="eastAsia" w:ascii="宋体" w:hAnsi="宋体" w:cs="宋体"/>
                <w:color w:val="auto"/>
                <w:szCs w:val="21"/>
              </w:rPr>
            </w:pPr>
            <w:r>
              <w:rPr>
                <w:rFonts w:hint="eastAsia" w:ascii="宋体" w:hAnsi="宋体" w:cs="宋体"/>
                <w:color w:val="auto"/>
                <w:szCs w:val="21"/>
              </w:rPr>
              <w:t>√</w:t>
            </w:r>
          </w:p>
        </w:tc>
      </w:tr>
      <w:tr w14:paraId="14DA17FA">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016D95">
            <w:pPr>
              <w:jc w:val="center"/>
              <w:rPr>
                <w:rFonts w:hint="eastAsia" w:ascii="宋体" w:hAnsi="宋体" w:cs="宋体"/>
                <w:color w:val="auto"/>
                <w:szCs w:val="21"/>
              </w:rPr>
            </w:pPr>
            <w:r>
              <w:rPr>
                <w:rFonts w:hint="eastAsia" w:ascii="宋体" w:hAnsi="宋体" w:cs="宋体"/>
                <w:color w:val="auto"/>
                <w:szCs w:val="21"/>
              </w:rPr>
              <w:t>彩超(肝胆脾胰双肾)</w:t>
            </w:r>
          </w:p>
        </w:tc>
        <w:tc>
          <w:tcPr>
            <w:tcW w:w="2777" w:type="pct"/>
            <w:tcBorders>
              <w:top w:val="nil"/>
              <w:left w:val="nil"/>
              <w:bottom w:val="single" w:color="auto" w:sz="4" w:space="0"/>
              <w:right w:val="single" w:color="auto" w:sz="4" w:space="0"/>
            </w:tcBorders>
            <w:shd w:val="clear" w:color="auto" w:fill="auto"/>
            <w:noWrap/>
            <w:vAlign w:val="center"/>
          </w:tcPr>
          <w:p w14:paraId="570D6B89">
            <w:pPr>
              <w:rPr>
                <w:rFonts w:hint="eastAsia" w:ascii="宋体" w:hAnsi="宋体" w:cs="宋体"/>
                <w:color w:val="auto"/>
                <w:szCs w:val="21"/>
              </w:rPr>
            </w:pPr>
            <w:r>
              <w:rPr>
                <w:rFonts w:hint="eastAsia" w:ascii="宋体" w:hAnsi="宋体" w:cs="宋体"/>
                <w:color w:val="auto"/>
                <w:szCs w:val="21"/>
              </w:rPr>
              <w:t>了解腹腔各脏器的大小，结构是否正常，有无脂肪肝，肝硬化、结石、炎症、息肉肿瘤等病变。</w:t>
            </w:r>
          </w:p>
        </w:tc>
        <w:tc>
          <w:tcPr>
            <w:tcW w:w="500" w:type="pct"/>
            <w:tcBorders>
              <w:top w:val="nil"/>
              <w:left w:val="nil"/>
              <w:bottom w:val="single" w:color="auto" w:sz="4" w:space="0"/>
              <w:right w:val="single" w:color="auto" w:sz="4" w:space="0"/>
            </w:tcBorders>
            <w:shd w:val="clear" w:color="auto" w:fill="auto"/>
            <w:noWrap/>
            <w:vAlign w:val="center"/>
          </w:tcPr>
          <w:p w14:paraId="4841A0B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26645E3D">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628E14C3">
            <w:pPr>
              <w:jc w:val="center"/>
              <w:rPr>
                <w:rFonts w:hint="eastAsia" w:ascii="宋体" w:hAnsi="宋体" w:cs="宋体"/>
                <w:color w:val="auto"/>
                <w:szCs w:val="21"/>
              </w:rPr>
            </w:pPr>
            <w:r>
              <w:rPr>
                <w:rFonts w:hint="eastAsia" w:ascii="宋体" w:hAnsi="宋体" w:cs="宋体"/>
                <w:color w:val="auto"/>
                <w:szCs w:val="21"/>
              </w:rPr>
              <w:t>√</w:t>
            </w:r>
          </w:p>
        </w:tc>
      </w:tr>
      <w:tr w14:paraId="22078020">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35110">
            <w:pPr>
              <w:jc w:val="center"/>
              <w:rPr>
                <w:rFonts w:hint="eastAsia" w:ascii="宋体" w:hAnsi="宋体" w:cs="宋体"/>
                <w:color w:val="auto"/>
                <w:szCs w:val="21"/>
              </w:rPr>
            </w:pPr>
            <w:r>
              <w:rPr>
                <w:rFonts w:hint="eastAsia" w:ascii="宋体" w:hAnsi="宋体" w:cs="宋体"/>
                <w:color w:val="auto"/>
                <w:szCs w:val="21"/>
              </w:rPr>
              <w:t>前列腺彩超（男）</w:t>
            </w:r>
          </w:p>
        </w:tc>
        <w:tc>
          <w:tcPr>
            <w:tcW w:w="2777" w:type="pct"/>
            <w:tcBorders>
              <w:top w:val="nil"/>
              <w:left w:val="nil"/>
              <w:bottom w:val="single" w:color="auto" w:sz="4" w:space="0"/>
              <w:right w:val="single" w:color="auto" w:sz="4" w:space="0"/>
            </w:tcBorders>
            <w:shd w:val="clear" w:color="auto" w:fill="auto"/>
            <w:noWrap/>
            <w:vAlign w:val="center"/>
          </w:tcPr>
          <w:p w14:paraId="162DBDD1">
            <w:pPr>
              <w:rPr>
                <w:rFonts w:hint="eastAsia" w:ascii="宋体" w:hAnsi="宋体" w:cs="宋体"/>
                <w:color w:val="auto"/>
                <w:szCs w:val="21"/>
              </w:rPr>
            </w:pPr>
            <w:r>
              <w:rPr>
                <w:rFonts w:hint="eastAsia" w:ascii="宋体" w:hAnsi="宋体" w:cs="宋体"/>
                <w:color w:val="auto"/>
                <w:szCs w:val="21"/>
              </w:rPr>
              <w:t>判断前列腺有无增生、炎症、囊肿和肿瘤等疾病</w:t>
            </w:r>
          </w:p>
        </w:tc>
        <w:tc>
          <w:tcPr>
            <w:tcW w:w="500" w:type="pct"/>
            <w:tcBorders>
              <w:top w:val="nil"/>
              <w:left w:val="nil"/>
              <w:bottom w:val="single" w:color="auto" w:sz="4" w:space="0"/>
              <w:right w:val="single" w:color="auto" w:sz="4" w:space="0"/>
            </w:tcBorders>
            <w:shd w:val="clear" w:color="auto" w:fill="auto"/>
            <w:noWrap/>
            <w:vAlign w:val="center"/>
          </w:tcPr>
          <w:p w14:paraId="41C60A86">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039A2C2">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946C3C7">
            <w:pPr>
              <w:jc w:val="center"/>
              <w:rPr>
                <w:rFonts w:hint="eastAsia" w:ascii="宋体" w:hAnsi="宋体" w:cs="宋体"/>
                <w:color w:val="auto"/>
                <w:szCs w:val="21"/>
              </w:rPr>
            </w:pPr>
            <w:r>
              <w:rPr>
                <w:rFonts w:hint="eastAsia" w:ascii="宋体" w:hAnsi="宋体" w:cs="宋体"/>
                <w:color w:val="auto"/>
                <w:szCs w:val="21"/>
              </w:rPr>
              <w:t>×</w:t>
            </w:r>
          </w:p>
        </w:tc>
      </w:tr>
      <w:tr w14:paraId="7DFC3A03">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C47814E">
            <w:pPr>
              <w:jc w:val="center"/>
              <w:rPr>
                <w:rFonts w:hint="eastAsia" w:ascii="宋体" w:hAnsi="宋体" w:cs="宋体"/>
                <w:color w:val="auto"/>
                <w:szCs w:val="21"/>
              </w:rPr>
            </w:pPr>
            <w:r>
              <w:rPr>
                <w:rFonts w:hint="eastAsia" w:ascii="宋体" w:hAnsi="宋体" w:cs="宋体"/>
                <w:color w:val="auto"/>
                <w:szCs w:val="21"/>
              </w:rPr>
              <w:t>甲状腺彩超</w:t>
            </w:r>
          </w:p>
        </w:tc>
        <w:tc>
          <w:tcPr>
            <w:tcW w:w="2777" w:type="pct"/>
            <w:tcBorders>
              <w:top w:val="nil"/>
              <w:left w:val="nil"/>
              <w:bottom w:val="single" w:color="auto" w:sz="4" w:space="0"/>
              <w:right w:val="single" w:color="auto" w:sz="4" w:space="0"/>
            </w:tcBorders>
            <w:shd w:val="clear" w:color="auto" w:fill="auto"/>
            <w:noWrap/>
            <w:vAlign w:val="center"/>
          </w:tcPr>
          <w:p w14:paraId="6CD28603">
            <w:pPr>
              <w:rPr>
                <w:rFonts w:hint="eastAsia" w:ascii="宋体" w:hAnsi="宋体" w:cs="宋体"/>
                <w:color w:val="auto"/>
                <w:szCs w:val="21"/>
              </w:rPr>
            </w:pPr>
            <w:r>
              <w:rPr>
                <w:rFonts w:hint="eastAsia" w:ascii="宋体" w:hAnsi="宋体" w:cs="宋体"/>
                <w:color w:val="auto"/>
                <w:szCs w:val="21"/>
              </w:rPr>
              <w:t>用于甲状腺弥漫性疾病、结节和肿瘤的筛查等</w:t>
            </w:r>
          </w:p>
        </w:tc>
        <w:tc>
          <w:tcPr>
            <w:tcW w:w="500" w:type="pct"/>
            <w:tcBorders>
              <w:top w:val="nil"/>
              <w:left w:val="nil"/>
              <w:bottom w:val="single" w:color="auto" w:sz="4" w:space="0"/>
              <w:right w:val="single" w:color="auto" w:sz="4" w:space="0"/>
            </w:tcBorders>
            <w:shd w:val="clear" w:color="auto" w:fill="auto"/>
            <w:noWrap/>
            <w:vAlign w:val="center"/>
          </w:tcPr>
          <w:p w14:paraId="7ADE6DCF">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C7E05F5">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7194CC1E">
            <w:pPr>
              <w:jc w:val="center"/>
              <w:rPr>
                <w:rFonts w:hint="eastAsia" w:ascii="宋体" w:hAnsi="宋体" w:cs="宋体"/>
                <w:color w:val="auto"/>
                <w:szCs w:val="21"/>
              </w:rPr>
            </w:pPr>
            <w:r>
              <w:rPr>
                <w:rFonts w:hint="eastAsia" w:ascii="宋体" w:hAnsi="宋体" w:cs="宋体"/>
                <w:color w:val="auto"/>
                <w:szCs w:val="21"/>
              </w:rPr>
              <w:t>√</w:t>
            </w:r>
          </w:p>
        </w:tc>
      </w:tr>
      <w:tr w14:paraId="449DAC10">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0FA58B9">
            <w:pPr>
              <w:jc w:val="center"/>
              <w:rPr>
                <w:rFonts w:hint="eastAsia" w:ascii="宋体" w:hAnsi="宋体" w:cs="宋体"/>
                <w:color w:val="auto"/>
                <w:szCs w:val="21"/>
              </w:rPr>
            </w:pPr>
            <w:r>
              <w:rPr>
                <w:rFonts w:hint="eastAsia" w:ascii="宋体" w:hAnsi="宋体" w:cs="宋体"/>
                <w:color w:val="auto"/>
                <w:szCs w:val="21"/>
              </w:rPr>
              <w:t>乳腺彩超（女）</w:t>
            </w:r>
          </w:p>
        </w:tc>
        <w:tc>
          <w:tcPr>
            <w:tcW w:w="2777" w:type="pct"/>
            <w:tcBorders>
              <w:top w:val="nil"/>
              <w:left w:val="nil"/>
              <w:bottom w:val="single" w:color="auto" w:sz="4" w:space="0"/>
              <w:right w:val="single" w:color="auto" w:sz="4" w:space="0"/>
            </w:tcBorders>
            <w:shd w:val="clear" w:color="auto" w:fill="auto"/>
            <w:noWrap/>
            <w:vAlign w:val="center"/>
          </w:tcPr>
          <w:p w14:paraId="6A23C494">
            <w:pPr>
              <w:rPr>
                <w:rFonts w:hint="eastAsia" w:ascii="宋体" w:hAnsi="宋体" w:cs="宋体"/>
                <w:color w:val="auto"/>
                <w:szCs w:val="21"/>
              </w:rPr>
            </w:pPr>
            <w:r>
              <w:rPr>
                <w:rFonts w:hint="eastAsia" w:ascii="宋体" w:hAnsi="宋体" w:cs="宋体"/>
                <w:color w:val="auto"/>
                <w:szCs w:val="21"/>
              </w:rPr>
              <w:t>用于乳腺增生、结节和肿瘤的筛查等</w:t>
            </w:r>
          </w:p>
        </w:tc>
        <w:tc>
          <w:tcPr>
            <w:tcW w:w="500" w:type="pct"/>
            <w:tcBorders>
              <w:top w:val="nil"/>
              <w:left w:val="nil"/>
              <w:bottom w:val="single" w:color="auto" w:sz="4" w:space="0"/>
              <w:right w:val="single" w:color="auto" w:sz="4" w:space="0"/>
            </w:tcBorders>
            <w:shd w:val="clear" w:color="auto" w:fill="auto"/>
            <w:noWrap/>
            <w:vAlign w:val="center"/>
          </w:tcPr>
          <w:p w14:paraId="2721C88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102697F">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BB396CC">
            <w:pPr>
              <w:jc w:val="center"/>
              <w:rPr>
                <w:rFonts w:hint="eastAsia" w:ascii="宋体" w:hAnsi="宋体" w:cs="宋体"/>
                <w:color w:val="auto"/>
                <w:szCs w:val="21"/>
              </w:rPr>
            </w:pPr>
            <w:r>
              <w:rPr>
                <w:rFonts w:hint="eastAsia" w:ascii="宋体" w:hAnsi="宋体" w:cs="宋体"/>
                <w:color w:val="auto"/>
                <w:szCs w:val="21"/>
              </w:rPr>
              <w:t>√</w:t>
            </w:r>
          </w:p>
        </w:tc>
      </w:tr>
      <w:tr w14:paraId="698314BA">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062250">
            <w:pPr>
              <w:jc w:val="center"/>
              <w:rPr>
                <w:rFonts w:hint="eastAsia" w:ascii="宋体" w:hAnsi="宋体" w:cs="宋体"/>
                <w:color w:val="auto"/>
                <w:szCs w:val="21"/>
              </w:rPr>
            </w:pPr>
            <w:r>
              <w:rPr>
                <w:rFonts w:hint="eastAsia" w:ascii="宋体" w:hAnsi="宋体" w:cs="宋体"/>
                <w:color w:val="auto"/>
                <w:szCs w:val="21"/>
              </w:rPr>
              <w:t>子宫附件彩超（经腹）（未婚女）</w:t>
            </w:r>
          </w:p>
        </w:tc>
        <w:tc>
          <w:tcPr>
            <w:tcW w:w="2777" w:type="pct"/>
            <w:vMerge w:val="restart"/>
            <w:tcBorders>
              <w:top w:val="nil"/>
              <w:left w:val="single" w:color="auto" w:sz="4" w:space="0"/>
              <w:bottom w:val="single" w:color="000000" w:sz="4" w:space="0"/>
              <w:right w:val="single" w:color="auto" w:sz="4" w:space="0"/>
            </w:tcBorders>
            <w:shd w:val="clear" w:color="auto" w:fill="auto"/>
            <w:noWrap/>
            <w:vAlign w:val="center"/>
          </w:tcPr>
          <w:p w14:paraId="3FB9EAC4">
            <w:pPr>
              <w:rPr>
                <w:rFonts w:hint="eastAsia" w:ascii="宋体" w:hAnsi="宋体" w:cs="宋体"/>
                <w:color w:val="auto"/>
                <w:szCs w:val="21"/>
              </w:rPr>
            </w:pPr>
            <w:r>
              <w:rPr>
                <w:rFonts w:hint="eastAsia" w:ascii="宋体" w:hAnsi="宋体" w:cs="宋体"/>
                <w:color w:val="auto"/>
                <w:szCs w:val="21"/>
              </w:rPr>
              <w:t>观察子宫、附件形态，了解有无炎症、畸形肿瘤等疾病。</w:t>
            </w:r>
          </w:p>
        </w:tc>
        <w:tc>
          <w:tcPr>
            <w:tcW w:w="500" w:type="pct"/>
            <w:tcBorders>
              <w:top w:val="nil"/>
              <w:left w:val="nil"/>
              <w:bottom w:val="single" w:color="auto" w:sz="4" w:space="0"/>
              <w:right w:val="single" w:color="auto" w:sz="4" w:space="0"/>
            </w:tcBorders>
            <w:shd w:val="clear" w:color="auto" w:fill="auto"/>
            <w:noWrap/>
            <w:vAlign w:val="center"/>
          </w:tcPr>
          <w:p w14:paraId="3A5EF5E0">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693E4321">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416182D">
            <w:pPr>
              <w:jc w:val="center"/>
              <w:rPr>
                <w:rFonts w:hint="eastAsia" w:ascii="宋体" w:hAnsi="宋体" w:cs="宋体"/>
                <w:color w:val="auto"/>
                <w:szCs w:val="21"/>
              </w:rPr>
            </w:pPr>
            <w:r>
              <w:rPr>
                <w:rFonts w:hint="eastAsia" w:ascii="宋体" w:hAnsi="宋体" w:cs="宋体"/>
                <w:color w:val="auto"/>
                <w:szCs w:val="21"/>
              </w:rPr>
              <w:t>√</w:t>
            </w:r>
          </w:p>
        </w:tc>
      </w:tr>
      <w:tr w14:paraId="6A60F942">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AE4F29">
            <w:pPr>
              <w:jc w:val="center"/>
              <w:rPr>
                <w:rFonts w:hint="eastAsia" w:ascii="宋体" w:hAnsi="宋体" w:cs="宋体"/>
                <w:color w:val="auto"/>
                <w:szCs w:val="21"/>
              </w:rPr>
            </w:pPr>
            <w:r>
              <w:rPr>
                <w:rFonts w:hint="eastAsia" w:ascii="宋体" w:hAnsi="宋体" w:cs="宋体"/>
                <w:color w:val="auto"/>
                <w:szCs w:val="21"/>
              </w:rPr>
              <w:t>子宫附件彩超（经阴）（已婚女）</w:t>
            </w:r>
          </w:p>
        </w:tc>
        <w:tc>
          <w:tcPr>
            <w:tcW w:w="2777" w:type="pct"/>
            <w:vMerge w:val="continue"/>
            <w:tcBorders>
              <w:top w:val="nil"/>
              <w:left w:val="single" w:color="auto" w:sz="4" w:space="0"/>
              <w:bottom w:val="single" w:color="000000" w:sz="4" w:space="0"/>
              <w:right w:val="single" w:color="auto" w:sz="4" w:space="0"/>
            </w:tcBorders>
            <w:shd w:val="clear" w:color="auto" w:fill="auto"/>
            <w:noWrap/>
            <w:vAlign w:val="center"/>
          </w:tcPr>
          <w:p w14:paraId="573D8E5A">
            <w:pPr>
              <w:rPr>
                <w:rFonts w:hint="eastAsia" w:ascii="宋体" w:hAnsi="宋体" w:cs="宋体"/>
                <w:color w:val="auto"/>
                <w:szCs w:val="21"/>
              </w:rPr>
            </w:pPr>
          </w:p>
        </w:tc>
        <w:tc>
          <w:tcPr>
            <w:tcW w:w="500" w:type="pct"/>
            <w:tcBorders>
              <w:top w:val="nil"/>
              <w:left w:val="nil"/>
              <w:bottom w:val="single" w:color="auto" w:sz="4" w:space="0"/>
              <w:right w:val="single" w:color="auto" w:sz="4" w:space="0"/>
            </w:tcBorders>
            <w:shd w:val="clear" w:color="auto" w:fill="auto"/>
            <w:noWrap/>
            <w:vAlign w:val="center"/>
          </w:tcPr>
          <w:p w14:paraId="6DDB1AD8">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6CE1C94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13A4586A">
            <w:pPr>
              <w:jc w:val="center"/>
              <w:rPr>
                <w:rFonts w:hint="eastAsia" w:ascii="宋体" w:hAnsi="宋体" w:cs="宋体"/>
                <w:color w:val="auto"/>
                <w:szCs w:val="21"/>
              </w:rPr>
            </w:pPr>
            <w:r>
              <w:rPr>
                <w:rFonts w:hint="eastAsia" w:ascii="宋体" w:hAnsi="宋体" w:cs="宋体"/>
                <w:color w:val="auto"/>
                <w:szCs w:val="21"/>
              </w:rPr>
              <w:t>×</w:t>
            </w:r>
          </w:p>
        </w:tc>
      </w:tr>
      <w:tr w14:paraId="00AD9826">
        <w:tblPrEx>
          <w:tblCellMar>
            <w:top w:w="0" w:type="dxa"/>
            <w:left w:w="108" w:type="dxa"/>
            <w:bottom w:w="0" w:type="dxa"/>
            <w:right w:w="108" w:type="dxa"/>
          </w:tblCellMar>
        </w:tblPrEx>
        <w:trPr>
          <w:trHeight w:val="33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EFC76D">
            <w:pPr>
              <w:jc w:val="center"/>
              <w:rPr>
                <w:rFonts w:hint="eastAsia" w:ascii="宋体" w:hAnsi="宋体" w:cs="宋体"/>
                <w:color w:val="auto"/>
                <w:szCs w:val="21"/>
              </w:rPr>
            </w:pPr>
            <w:r>
              <w:rPr>
                <w:rFonts w:hint="eastAsia" w:ascii="宋体" w:hAnsi="宋体" w:cs="宋体"/>
                <w:color w:val="auto"/>
                <w:szCs w:val="21"/>
              </w:rPr>
              <w:t>妇科检查（已婚女）</w:t>
            </w:r>
          </w:p>
        </w:tc>
        <w:tc>
          <w:tcPr>
            <w:tcW w:w="2777" w:type="pct"/>
            <w:tcBorders>
              <w:top w:val="nil"/>
              <w:left w:val="nil"/>
              <w:bottom w:val="single" w:color="auto" w:sz="4" w:space="0"/>
              <w:right w:val="single" w:color="auto" w:sz="4" w:space="0"/>
            </w:tcBorders>
            <w:shd w:val="clear" w:color="auto" w:fill="auto"/>
            <w:noWrap/>
            <w:vAlign w:val="center"/>
          </w:tcPr>
          <w:p w14:paraId="16C2A41F">
            <w:pPr>
              <w:rPr>
                <w:rFonts w:hint="eastAsia" w:ascii="宋体" w:hAnsi="宋体" w:cs="宋体"/>
                <w:color w:val="auto"/>
                <w:szCs w:val="21"/>
              </w:rPr>
            </w:pPr>
            <w:r>
              <w:rPr>
                <w:rFonts w:hint="eastAsia" w:ascii="宋体" w:hAnsi="宋体" w:cs="宋体"/>
                <w:color w:val="auto"/>
                <w:szCs w:val="21"/>
              </w:rPr>
              <w:t>外阴、阴道、宫颈、宫体、双侧附件</w:t>
            </w:r>
          </w:p>
        </w:tc>
        <w:tc>
          <w:tcPr>
            <w:tcW w:w="500" w:type="pct"/>
            <w:tcBorders>
              <w:top w:val="nil"/>
              <w:left w:val="nil"/>
              <w:bottom w:val="single" w:color="auto" w:sz="4" w:space="0"/>
              <w:right w:val="single" w:color="auto" w:sz="4" w:space="0"/>
            </w:tcBorders>
            <w:shd w:val="clear" w:color="auto" w:fill="auto"/>
            <w:noWrap/>
            <w:vAlign w:val="center"/>
          </w:tcPr>
          <w:p w14:paraId="0DE3081C">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7517311A">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500C1568">
            <w:pPr>
              <w:jc w:val="center"/>
              <w:rPr>
                <w:rFonts w:hint="eastAsia" w:ascii="宋体" w:hAnsi="宋体" w:cs="宋体"/>
                <w:color w:val="auto"/>
                <w:szCs w:val="21"/>
              </w:rPr>
            </w:pPr>
            <w:r>
              <w:rPr>
                <w:rFonts w:hint="eastAsia" w:ascii="宋体" w:hAnsi="宋体" w:cs="宋体"/>
                <w:color w:val="auto"/>
                <w:szCs w:val="21"/>
              </w:rPr>
              <w:t>×</w:t>
            </w:r>
          </w:p>
        </w:tc>
      </w:tr>
      <w:tr w14:paraId="3E85D271">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8E25A0">
            <w:pPr>
              <w:jc w:val="center"/>
              <w:rPr>
                <w:rFonts w:hint="eastAsia" w:ascii="宋体" w:hAnsi="宋体" w:cs="宋体"/>
                <w:color w:val="auto"/>
                <w:szCs w:val="21"/>
              </w:rPr>
            </w:pPr>
            <w:r>
              <w:rPr>
                <w:rFonts w:hint="eastAsia" w:ascii="宋体" w:hAnsi="宋体" w:cs="宋体"/>
                <w:color w:val="auto"/>
                <w:szCs w:val="21"/>
              </w:rPr>
              <w:t>TCT（已婚女）</w:t>
            </w:r>
          </w:p>
        </w:tc>
        <w:tc>
          <w:tcPr>
            <w:tcW w:w="2777" w:type="pct"/>
            <w:tcBorders>
              <w:top w:val="nil"/>
              <w:left w:val="nil"/>
              <w:bottom w:val="single" w:color="auto" w:sz="4" w:space="0"/>
              <w:right w:val="single" w:color="auto" w:sz="4" w:space="0"/>
            </w:tcBorders>
            <w:shd w:val="clear" w:color="auto" w:fill="auto"/>
            <w:noWrap/>
            <w:vAlign w:val="center"/>
          </w:tcPr>
          <w:p w14:paraId="36E7E60B">
            <w:pPr>
              <w:rPr>
                <w:rFonts w:hint="eastAsia" w:ascii="宋体" w:hAnsi="宋体" w:cs="宋体"/>
                <w:color w:val="auto"/>
                <w:szCs w:val="21"/>
              </w:rPr>
            </w:pPr>
            <w:r>
              <w:rPr>
                <w:rFonts w:hint="eastAsia" w:ascii="宋体" w:hAnsi="宋体" w:cs="宋体"/>
                <w:color w:val="auto"/>
                <w:szCs w:val="21"/>
              </w:rPr>
              <w:t>TCT宫颈癌细胞学检查对宫颈癌细胞的检出率高，同时还能发现癌前病变，微生物感染等</w:t>
            </w:r>
          </w:p>
        </w:tc>
        <w:tc>
          <w:tcPr>
            <w:tcW w:w="500" w:type="pct"/>
            <w:tcBorders>
              <w:top w:val="nil"/>
              <w:left w:val="nil"/>
              <w:bottom w:val="single" w:color="auto" w:sz="4" w:space="0"/>
              <w:right w:val="single" w:color="auto" w:sz="4" w:space="0"/>
            </w:tcBorders>
            <w:shd w:val="clear" w:color="auto" w:fill="auto"/>
            <w:noWrap/>
            <w:vAlign w:val="center"/>
          </w:tcPr>
          <w:p w14:paraId="759A011E">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001AF07B">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6619BB9D">
            <w:pPr>
              <w:jc w:val="center"/>
              <w:rPr>
                <w:rFonts w:hint="eastAsia" w:ascii="宋体" w:hAnsi="宋体" w:cs="宋体"/>
                <w:color w:val="auto"/>
                <w:szCs w:val="21"/>
              </w:rPr>
            </w:pPr>
            <w:r>
              <w:rPr>
                <w:rFonts w:hint="eastAsia" w:ascii="宋体" w:hAnsi="宋体" w:cs="宋体"/>
                <w:color w:val="auto"/>
                <w:szCs w:val="21"/>
              </w:rPr>
              <w:t>×</w:t>
            </w:r>
          </w:p>
        </w:tc>
      </w:tr>
      <w:tr w14:paraId="67F8809C">
        <w:tblPrEx>
          <w:tblCellMar>
            <w:top w:w="0" w:type="dxa"/>
            <w:left w:w="108" w:type="dxa"/>
            <w:bottom w:w="0" w:type="dxa"/>
            <w:right w:w="108" w:type="dxa"/>
          </w:tblCellMar>
        </w:tblPrEx>
        <w:trPr>
          <w:trHeight w:val="540" w:hRule="atLeast"/>
        </w:trPr>
        <w:tc>
          <w:tcPr>
            <w:tcW w:w="9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BA4C46">
            <w:pPr>
              <w:jc w:val="center"/>
              <w:rPr>
                <w:rFonts w:hint="eastAsia" w:ascii="宋体" w:hAnsi="宋体" w:cs="宋体"/>
                <w:color w:val="auto"/>
                <w:szCs w:val="21"/>
              </w:rPr>
            </w:pPr>
            <w:r>
              <w:rPr>
                <w:rFonts w:hint="eastAsia" w:ascii="宋体" w:hAnsi="宋体" w:cs="宋体"/>
                <w:color w:val="auto"/>
                <w:szCs w:val="21"/>
              </w:rPr>
              <w:t>白带常规（已婚女）</w:t>
            </w:r>
          </w:p>
        </w:tc>
        <w:tc>
          <w:tcPr>
            <w:tcW w:w="2777" w:type="pct"/>
            <w:tcBorders>
              <w:top w:val="nil"/>
              <w:left w:val="nil"/>
              <w:bottom w:val="single" w:color="auto" w:sz="4" w:space="0"/>
              <w:right w:val="single" w:color="auto" w:sz="4" w:space="0"/>
            </w:tcBorders>
            <w:shd w:val="clear" w:color="auto" w:fill="auto"/>
            <w:noWrap/>
            <w:vAlign w:val="center"/>
          </w:tcPr>
          <w:p w14:paraId="5650E49E">
            <w:pPr>
              <w:rPr>
                <w:rFonts w:hint="eastAsia" w:ascii="宋体" w:hAnsi="宋体" w:cs="宋体"/>
                <w:color w:val="auto"/>
                <w:szCs w:val="21"/>
              </w:rPr>
            </w:pPr>
            <w:r>
              <w:rPr>
                <w:rFonts w:hint="eastAsia" w:ascii="宋体" w:hAnsi="宋体" w:cs="宋体"/>
                <w:color w:val="auto"/>
                <w:szCs w:val="21"/>
              </w:rPr>
              <w:t>白带常规检查对确定阴道清洁度、发现病原体以及诊断治疗均有意义。</w:t>
            </w:r>
          </w:p>
        </w:tc>
        <w:tc>
          <w:tcPr>
            <w:tcW w:w="500" w:type="pct"/>
            <w:tcBorders>
              <w:top w:val="nil"/>
              <w:left w:val="nil"/>
              <w:bottom w:val="single" w:color="auto" w:sz="4" w:space="0"/>
              <w:right w:val="single" w:color="auto" w:sz="4" w:space="0"/>
            </w:tcBorders>
            <w:shd w:val="clear" w:color="auto" w:fill="auto"/>
            <w:noWrap/>
            <w:vAlign w:val="center"/>
          </w:tcPr>
          <w:p w14:paraId="36136271">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3677E6EE">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258D4366">
            <w:pPr>
              <w:jc w:val="center"/>
              <w:rPr>
                <w:rFonts w:hint="eastAsia" w:ascii="宋体" w:hAnsi="宋体" w:cs="宋体"/>
                <w:color w:val="auto"/>
                <w:szCs w:val="21"/>
              </w:rPr>
            </w:pPr>
            <w:r>
              <w:rPr>
                <w:rFonts w:hint="eastAsia" w:ascii="宋体" w:hAnsi="宋体" w:cs="宋体"/>
                <w:color w:val="auto"/>
                <w:szCs w:val="21"/>
              </w:rPr>
              <w:t>×</w:t>
            </w:r>
          </w:p>
        </w:tc>
      </w:tr>
      <w:tr w14:paraId="49E3E1BF">
        <w:tblPrEx>
          <w:tblCellMar>
            <w:top w:w="0" w:type="dxa"/>
            <w:left w:w="108" w:type="dxa"/>
            <w:bottom w:w="0" w:type="dxa"/>
            <w:right w:w="108" w:type="dxa"/>
          </w:tblCellMar>
        </w:tblPrEx>
        <w:trPr>
          <w:trHeight w:val="660" w:hRule="atLeast"/>
        </w:trPr>
        <w:tc>
          <w:tcPr>
            <w:tcW w:w="903" w:type="pct"/>
            <w:gridSpan w:val="2"/>
            <w:tcBorders>
              <w:top w:val="nil"/>
              <w:left w:val="single" w:color="auto" w:sz="4" w:space="0"/>
              <w:bottom w:val="single" w:color="auto" w:sz="4" w:space="0"/>
              <w:right w:val="single" w:color="auto" w:sz="4" w:space="0"/>
            </w:tcBorders>
            <w:shd w:val="clear" w:color="auto" w:fill="auto"/>
            <w:noWrap/>
            <w:vAlign w:val="center"/>
          </w:tcPr>
          <w:p w14:paraId="3054CCD3">
            <w:pPr>
              <w:jc w:val="center"/>
              <w:rPr>
                <w:rFonts w:hint="eastAsia" w:ascii="宋体" w:hAnsi="宋体" w:cs="宋体"/>
                <w:color w:val="auto"/>
                <w:szCs w:val="21"/>
              </w:rPr>
            </w:pPr>
            <w:r>
              <w:rPr>
                <w:rFonts w:hint="eastAsia" w:ascii="宋体" w:hAnsi="宋体" w:cs="宋体"/>
                <w:color w:val="auto"/>
                <w:szCs w:val="21"/>
              </w:rPr>
              <w:t xml:space="preserve">大便隐血免疫学检测 </w:t>
            </w:r>
          </w:p>
        </w:tc>
        <w:tc>
          <w:tcPr>
            <w:tcW w:w="2777" w:type="pct"/>
            <w:tcBorders>
              <w:top w:val="nil"/>
              <w:left w:val="nil"/>
              <w:bottom w:val="single" w:color="auto" w:sz="4" w:space="0"/>
              <w:right w:val="single" w:color="auto" w:sz="4" w:space="0"/>
            </w:tcBorders>
            <w:shd w:val="clear" w:color="auto" w:fill="auto"/>
            <w:noWrap/>
            <w:vAlign w:val="center"/>
          </w:tcPr>
          <w:p w14:paraId="3ABE1F65">
            <w:pPr>
              <w:rPr>
                <w:rFonts w:hint="eastAsia" w:ascii="宋体" w:hAnsi="宋体" w:cs="宋体"/>
                <w:color w:val="auto"/>
                <w:szCs w:val="21"/>
              </w:rPr>
            </w:pPr>
            <w:r>
              <w:rPr>
                <w:rFonts w:hint="eastAsia" w:ascii="宋体" w:hAnsi="宋体" w:cs="宋体"/>
                <w:color w:val="auto"/>
                <w:szCs w:val="21"/>
              </w:rPr>
              <w:t>是全消化道肿瘤筛查最简便最有效的手段，适用于各年龄段人员的基础筛查，用于大肠癌早期预警。</w:t>
            </w:r>
          </w:p>
        </w:tc>
        <w:tc>
          <w:tcPr>
            <w:tcW w:w="500" w:type="pct"/>
            <w:tcBorders>
              <w:top w:val="nil"/>
              <w:left w:val="nil"/>
              <w:bottom w:val="single" w:color="auto" w:sz="4" w:space="0"/>
              <w:right w:val="single" w:color="auto" w:sz="4" w:space="0"/>
            </w:tcBorders>
            <w:shd w:val="clear" w:color="auto" w:fill="auto"/>
            <w:noWrap/>
            <w:vAlign w:val="center"/>
          </w:tcPr>
          <w:p w14:paraId="177D4D9E">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auto" w:fill="auto"/>
            <w:noWrap/>
            <w:vAlign w:val="center"/>
          </w:tcPr>
          <w:p w14:paraId="403865C0">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auto" w:fill="auto"/>
            <w:noWrap/>
            <w:vAlign w:val="center"/>
          </w:tcPr>
          <w:p w14:paraId="39CD661F">
            <w:pPr>
              <w:jc w:val="center"/>
              <w:rPr>
                <w:rFonts w:hint="eastAsia" w:ascii="宋体" w:hAnsi="宋体" w:cs="宋体"/>
                <w:color w:val="auto"/>
                <w:szCs w:val="21"/>
              </w:rPr>
            </w:pPr>
            <w:r>
              <w:rPr>
                <w:rFonts w:hint="eastAsia" w:ascii="宋体" w:hAnsi="宋体" w:cs="宋体"/>
                <w:color w:val="auto"/>
                <w:szCs w:val="21"/>
              </w:rPr>
              <w:t>√</w:t>
            </w:r>
          </w:p>
        </w:tc>
      </w:tr>
      <w:tr w14:paraId="52F21388">
        <w:tblPrEx>
          <w:tblCellMar>
            <w:top w:w="0" w:type="dxa"/>
            <w:left w:w="108" w:type="dxa"/>
            <w:bottom w:w="0" w:type="dxa"/>
            <w:right w:w="108" w:type="dxa"/>
          </w:tblCellMar>
        </w:tblPrEx>
        <w:trPr>
          <w:trHeight w:val="660" w:hRule="atLeast"/>
        </w:trPr>
        <w:tc>
          <w:tcPr>
            <w:tcW w:w="90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CD0F11">
            <w:pPr>
              <w:jc w:val="center"/>
              <w:rPr>
                <w:rFonts w:hint="eastAsia" w:ascii="宋体" w:hAnsi="宋体" w:cs="宋体"/>
                <w:color w:val="auto"/>
                <w:szCs w:val="21"/>
              </w:rPr>
            </w:pPr>
            <w:r>
              <w:rPr>
                <w:rFonts w:hint="eastAsia" w:ascii="宋体" w:hAnsi="宋体" w:cs="宋体"/>
                <w:color w:val="auto"/>
                <w:szCs w:val="21"/>
              </w:rPr>
              <w:t>免费提供自助营养早餐</w:t>
            </w:r>
          </w:p>
        </w:tc>
        <w:tc>
          <w:tcPr>
            <w:tcW w:w="2777" w:type="pct"/>
            <w:tcBorders>
              <w:top w:val="nil"/>
              <w:left w:val="nil"/>
              <w:bottom w:val="single" w:color="auto" w:sz="4" w:space="0"/>
              <w:right w:val="single" w:color="auto" w:sz="4" w:space="0"/>
            </w:tcBorders>
            <w:shd w:val="clear" w:color="000000" w:fill="FFFFFF"/>
            <w:noWrap/>
            <w:vAlign w:val="center"/>
          </w:tcPr>
          <w:p w14:paraId="3F3E1E21">
            <w:pPr>
              <w:rPr>
                <w:rFonts w:hint="eastAsia" w:ascii="宋体" w:hAnsi="宋体" w:cs="宋体"/>
                <w:color w:val="auto"/>
                <w:szCs w:val="21"/>
              </w:rPr>
            </w:pPr>
            <w:r>
              <w:rPr>
                <w:rFonts w:hint="eastAsia" w:ascii="宋体" w:hAnsi="宋体" w:cs="宋体"/>
                <w:color w:val="auto"/>
                <w:szCs w:val="21"/>
              </w:rPr>
              <w:t>牛奶，豆浆，鸡蛋，新鲜肉包，花卷，馒头，稀饭，烧麦，水果等</w:t>
            </w:r>
          </w:p>
        </w:tc>
        <w:tc>
          <w:tcPr>
            <w:tcW w:w="500" w:type="pct"/>
            <w:tcBorders>
              <w:top w:val="nil"/>
              <w:left w:val="nil"/>
              <w:bottom w:val="single" w:color="auto" w:sz="4" w:space="0"/>
              <w:right w:val="single" w:color="auto" w:sz="4" w:space="0"/>
            </w:tcBorders>
            <w:shd w:val="clear" w:color="000000" w:fill="FFFFFF"/>
            <w:noWrap/>
            <w:vAlign w:val="center"/>
          </w:tcPr>
          <w:p w14:paraId="211436F4">
            <w:pPr>
              <w:jc w:val="center"/>
              <w:rPr>
                <w:rFonts w:hint="eastAsia" w:ascii="宋体" w:hAnsi="宋体" w:cs="宋体"/>
                <w:color w:val="auto"/>
                <w:szCs w:val="21"/>
              </w:rPr>
            </w:pPr>
            <w:r>
              <w:rPr>
                <w:rFonts w:hint="eastAsia" w:ascii="宋体" w:hAnsi="宋体" w:cs="宋体"/>
                <w:color w:val="auto"/>
                <w:szCs w:val="21"/>
              </w:rPr>
              <w:t>√</w:t>
            </w:r>
          </w:p>
        </w:tc>
        <w:tc>
          <w:tcPr>
            <w:tcW w:w="379" w:type="pct"/>
            <w:tcBorders>
              <w:top w:val="nil"/>
              <w:left w:val="nil"/>
              <w:bottom w:val="single" w:color="auto" w:sz="4" w:space="0"/>
              <w:right w:val="single" w:color="auto" w:sz="4" w:space="0"/>
            </w:tcBorders>
            <w:shd w:val="clear" w:color="000000" w:fill="FFFFFF"/>
            <w:noWrap/>
            <w:vAlign w:val="center"/>
          </w:tcPr>
          <w:p w14:paraId="6578DDE6">
            <w:pPr>
              <w:jc w:val="center"/>
              <w:rPr>
                <w:rFonts w:hint="eastAsia" w:ascii="宋体" w:hAnsi="宋体" w:cs="宋体"/>
                <w:color w:val="auto"/>
                <w:szCs w:val="21"/>
              </w:rPr>
            </w:pPr>
            <w:r>
              <w:rPr>
                <w:rFonts w:hint="eastAsia" w:ascii="宋体" w:hAnsi="宋体" w:cs="宋体"/>
                <w:color w:val="auto"/>
                <w:szCs w:val="21"/>
              </w:rPr>
              <w:t>√</w:t>
            </w:r>
          </w:p>
        </w:tc>
        <w:tc>
          <w:tcPr>
            <w:tcW w:w="438" w:type="pct"/>
            <w:tcBorders>
              <w:top w:val="nil"/>
              <w:left w:val="nil"/>
              <w:bottom w:val="single" w:color="auto" w:sz="4" w:space="0"/>
              <w:right w:val="single" w:color="auto" w:sz="4" w:space="0"/>
            </w:tcBorders>
            <w:shd w:val="clear" w:color="000000" w:fill="FFFFFF"/>
            <w:noWrap/>
            <w:vAlign w:val="center"/>
          </w:tcPr>
          <w:p w14:paraId="3814AFA4">
            <w:pPr>
              <w:jc w:val="center"/>
              <w:rPr>
                <w:rFonts w:hint="eastAsia" w:ascii="宋体" w:hAnsi="宋体" w:cs="宋体"/>
                <w:color w:val="auto"/>
                <w:szCs w:val="21"/>
              </w:rPr>
            </w:pPr>
            <w:r>
              <w:rPr>
                <w:rFonts w:hint="eastAsia" w:ascii="宋体" w:hAnsi="宋体" w:cs="宋体"/>
                <w:color w:val="auto"/>
                <w:szCs w:val="21"/>
              </w:rPr>
              <w:t>√</w:t>
            </w:r>
          </w:p>
        </w:tc>
      </w:tr>
    </w:tbl>
    <w:p w14:paraId="2EFDC5A4">
      <w:pPr>
        <w:rPr>
          <w:rFonts w:hint="default" w:eastAsia="宋体"/>
          <w:lang w:val="en-US" w:eastAsia="zh-CN"/>
        </w:rPr>
      </w:pPr>
      <w:r>
        <w:rPr>
          <w:rFonts w:hint="eastAsia" w:ascii="宋体" w:hAnsi="宋体" w:cs="宋体"/>
          <w:color w:val="auto"/>
          <w:szCs w:val="21"/>
        </w:rPr>
        <w:t>√</w:t>
      </w:r>
      <w:r>
        <w:rPr>
          <w:rFonts w:hint="eastAsia" w:ascii="宋体" w:hAnsi="宋体" w:cs="宋体"/>
          <w:color w:val="auto"/>
          <w:szCs w:val="21"/>
          <w:lang w:val="en-US" w:eastAsia="zh-CN"/>
        </w:rPr>
        <w:t>表示体检内容，</w:t>
      </w:r>
      <w:r>
        <w:rPr>
          <w:rFonts w:hint="eastAsia" w:ascii="宋体" w:hAnsi="宋体" w:cs="宋体"/>
          <w:color w:val="auto"/>
          <w:szCs w:val="21"/>
        </w:rPr>
        <w:t>×</w:t>
      </w:r>
      <w:r>
        <w:rPr>
          <w:rFonts w:hint="eastAsia" w:ascii="宋体" w:hAnsi="宋体" w:cs="宋体"/>
          <w:color w:val="auto"/>
          <w:szCs w:val="21"/>
          <w:lang w:val="en-US" w:eastAsia="zh-CN"/>
        </w:rPr>
        <w:t>表示不需要体检的内容。</w:t>
      </w:r>
    </w:p>
    <w:p w14:paraId="275755ED">
      <w:pPr>
        <w:spacing w:line="360" w:lineRule="auto"/>
        <w:ind w:firstLine="640"/>
        <w:rPr>
          <w:b/>
          <w:bCs/>
          <w:szCs w:val="21"/>
        </w:rPr>
      </w:pPr>
      <w:r>
        <w:rPr>
          <w:rFonts w:hint="eastAsia"/>
          <w:b/>
          <w:bCs/>
          <w:szCs w:val="21"/>
        </w:rPr>
        <w:t>（二）体检要求</w:t>
      </w:r>
    </w:p>
    <w:p w14:paraId="5FB70598">
      <w:pPr>
        <w:spacing w:line="360" w:lineRule="auto"/>
        <w:ind w:firstLine="640"/>
        <w:rPr>
          <w:rFonts w:hint="eastAsia" w:ascii="宋体" w:hAnsi="宋体" w:cs="宋体"/>
          <w:szCs w:val="21"/>
        </w:rPr>
      </w:pPr>
      <w:r>
        <w:rPr>
          <w:rFonts w:hint="eastAsia" w:ascii="宋体" w:hAnsi="宋体" w:cs="宋体"/>
          <w:szCs w:val="21"/>
        </w:rPr>
        <w:t>1. 体检时，承检医院必须进行体检人员的实名认证，任何人不得顶替体检。</w:t>
      </w:r>
    </w:p>
    <w:p w14:paraId="5C96E22E">
      <w:pPr>
        <w:spacing w:line="360" w:lineRule="auto"/>
        <w:ind w:firstLine="640"/>
        <w:rPr>
          <w:rFonts w:hint="eastAsia" w:ascii="宋体" w:hAnsi="宋体" w:cs="宋体"/>
          <w:szCs w:val="21"/>
        </w:rPr>
      </w:pPr>
      <w:r>
        <w:rPr>
          <w:rFonts w:hint="eastAsia" w:ascii="宋体" w:hAnsi="宋体" w:cs="宋体"/>
          <w:szCs w:val="21"/>
        </w:rPr>
        <w:t>2. 体检相关的各项检查、操作及全程质量管理等均严格按照国家有关法律法规及卫生部门相关管理规定，确保体检医疗安全。</w:t>
      </w:r>
    </w:p>
    <w:p w14:paraId="210C2A65">
      <w:pPr>
        <w:spacing w:line="360" w:lineRule="auto"/>
        <w:ind w:firstLine="640"/>
        <w:rPr>
          <w:rFonts w:hint="eastAsia" w:ascii="宋体" w:hAnsi="宋体" w:cs="宋体"/>
          <w:szCs w:val="21"/>
        </w:rPr>
      </w:pPr>
      <w:r>
        <w:rPr>
          <w:rFonts w:hint="eastAsia" w:ascii="宋体" w:hAnsi="宋体" w:cs="宋体"/>
          <w:szCs w:val="21"/>
        </w:rPr>
        <w:t>3. 确保体检医疗设备、仪器、耗材使用安全，医护人员诊疗规范，体检结果准确；体检区域独立设置，体检环境良好，卫生、整洁、有序，各诊室独立，保护参检人员隐私。</w:t>
      </w:r>
    </w:p>
    <w:p w14:paraId="62682743">
      <w:pPr>
        <w:spacing w:line="364" w:lineRule="auto"/>
        <w:ind w:right="94" w:firstLine="632" w:firstLineChars="300"/>
        <w:rPr>
          <w:rFonts w:hint="eastAsia" w:ascii="宋体" w:hAnsi="宋体" w:cs="宋体"/>
          <w:b/>
          <w:bCs/>
          <w:szCs w:val="21"/>
          <w:highlight w:val="none"/>
        </w:rPr>
      </w:pPr>
      <w:r>
        <w:rPr>
          <w:rFonts w:hint="eastAsia" w:ascii="宋体" w:hAnsi="宋体" w:cs="宋体"/>
          <w:b/>
          <w:bCs/>
          <w:szCs w:val="21"/>
          <w:highlight w:val="none"/>
        </w:rPr>
        <w:t>4. 本项目拟派的医务人员</w:t>
      </w:r>
      <w:r>
        <w:rPr>
          <w:rFonts w:ascii="宋体" w:hAnsi="宋体" w:cs="宋体"/>
          <w:b/>
          <w:bCs/>
          <w:szCs w:val="21"/>
          <w:highlight w:val="none"/>
        </w:rPr>
        <w:t>中</w:t>
      </w:r>
      <w:r>
        <w:rPr>
          <w:rFonts w:hint="eastAsia" w:ascii="宋体" w:hAnsi="宋体" w:cs="宋体"/>
          <w:b/>
          <w:bCs/>
          <w:szCs w:val="21"/>
          <w:highlight w:val="none"/>
          <w:lang w:val="en-US" w:eastAsia="zh-CN"/>
        </w:rPr>
        <w:t>须</w:t>
      </w:r>
      <w:r>
        <w:rPr>
          <w:rFonts w:ascii="宋体" w:hAnsi="宋体" w:cs="宋体"/>
          <w:b/>
          <w:bCs/>
          <w:szCs w:val="21"/>
          <w:highlight w:val="none"/>
        </w:rPr>
        <w:t>至少</w:t>
      </w:r>
      <w:r>
        <w:rPr>
          <w:rFonts w:hint="eastAsia" w:ascii="宋体" w:hAnsi="宋体" w:cs="宋体"/>
          <w:b/>
          <w:bCs/>
          <w:szCs w:val="21"/>
          <w:highlight w:val="none"/>
          <w:lang w:val="en-US" w:eastAsia="zh-CN"/>
        </w:rPr>
        <w:t>有</w:t>
      </w:r>
      <w:r>
        <w:rPr>
          <w:rFonts w:ascii="宋体" w:hAnsi="宋体" w:cs="宋体"/>
          <w:b/>
          <w:bCs/>
          <w:szCs w:val="21"/>
          <w:highlight w:val="none"/>
        </w:rPr>
        <w:t>一名B超及CT读片医师为高级职称者；</w:t>
      </w:r>
    </w:p>
    <w:p w14:paraId="047B10DA">
      <w:pPr>
        <w:spacing w:line="360" w:lineRule="auto"/>
        <w:ind w:firstLine="640"/>
        <w:rPr>
          <w:rFonts w:hint="eastAsia" w:ascii="宋体" w:hAnsi="宋体" w:cs="宋体"/>
          <w:b w:val="0"/>
          <w:bCs w:val="0"/>
          <w:szCs w:val="21"/>
          <w:highlight w:val="none"/>
        </w:rPr>
      </w:pPr>
      <w:r>
        <w:rPr>
          <w:rFonts w:hint="eastAsia" w:ascii="宋体" w:hAnsi="宋体" w:cs="宋体"/>
          <w:b w:val="0"/>
          <w:bCs w:val="0"/>
          <w:szCs w:val="21"/>
          <w:highlight w:val="none"/>
        </w:rPr>
        <w:t>5. 体检仪器及设备先进、性能良好、结果准确。</w:t>
      </w:r>
    </w:p>
    <w:p w14:paraId="0474FA31">
      <w:pPr>
        <w:spacing w:line="360" w:lineRule="auto"/>
        <w:ind w:firstLine="640"/>
        <w:rPr>
          <w:rFonts w:hint="eastAsia" w:ascii="宋体" w:hAnsi="宋体" w:cs="宋体"/>
          <w:szCs w:val="21"/>
        </w:rPr>
      </w:pPr>
      <w:r>
        <w:rPr>
          <w:rFonts w:hint="eastAsia" w:ascii="宋体" w:hAnsi="宋体" w:cs="宋体"/>
          <w:szCs w:val="21"/>
        </w:rPr>
        <w:t>6. 标本管理严格按照卫生管理部门医疗相关规定执行；对有争议的标本、溶血标本以及体检方责任引起的误差标本，提供复查服务，费用包含在本次报价中。</w:t>
      </w:r>
    </w:p>
    <w:p w14:paraId="5A1EEF36">
      <w:pPr>
        <w:spacing w:line="360" w:lineRule="auto"/>
        <w:ind w:firstLine="640"/>
        <w:rPr>
          <w:rFonts w:hint="eastAsia" w:ascii="宋体" w:hAnsi="宋体" w:cs="宋体"/>
          <w:szCs w:val="21"/>
        </w:rPr>
      </w:pPr>
      <w:r>
        <w:rPr>
          <w:rFonts w:hint="eastAsia" w:ascii="宋体" w:hAnsi="宋体" w:cs="宋体"/>
          <w:szCs w:val="21"/>
        </w:rPr>
        <w:t>7. 医疗耗材包括采血针、手套、妇科窥器、检查床单等，均为一次性使用。</w:t>
      </w:r>
    </w:p>
    <w:p w14:paraId="28668822">
      <w:pPr>
        <w:spacing w:line="360" w:lineRule="auto"/>
        <w:ind w:firstLine="640"/>
        <w:rPr>
          <w:rFonts w:hint="eastAsia" w:ascii="宋体" w:hAnsi="宋体" w:cs="宋体"/>
          <w:szCs w:val="21"/>
        </w:rPr>
      </w:pPr>
      <w:r>
        <w:rPr>
          <w:rFonts w:hint="eastAsia" w:ascii="宋体" w:hAnsi="宋体" w:cs="宋体"/>
          <w:szCs w:val="21"/>
        </w:rPr>
        <w:t>8. 体检过程中需保障受检人员的安全。</w:t>
      </w:r>
    </w:p>
    <w:p w14:paraId="075B9DE8">
      <w:pPr>
        <w:spacing w:line="360" w:lineRule="auto"/>
        <w:ind w:firstLine="640"/>
        <w:rPr>
          <w:rFonts w:hint="eastAsia" w:ascii="宋体" w:hAnsi="宋体" w:cs="宋体"/>
          <w:szCs w:val="21"/>
        </w:rPr>
      </w:pPr>
      <w:r>
        <w:rPr>
          <w:rFonts w:hint="eastAsia" w:ascii="宋体" w:hAnsi="宋体" w:cs="宋体"/>
          <w:szCs w:val="21"/>
        </w:rPr>
        <w:t>9. 供应商需为有检漏项目的教职工提供补检服务，保障其按照采购人要求的时间进行补检。</w:t>
      </w:r>
    </w:p>
    <w:p w14:paraId="204FCC3F">
      <w:pPr>
        <w:spacing w:line="360" w:lineRule="auto"/>
        <w:ind w:firstLine="640"/>
        <w:rPr>
          <w:rFonts w:hint="eastAsia" w:ascii="宋体" w:hAnsi="宋体" w:cs="宋体"/>
          <w:szCs w:val="21"/>
        </w:rPr>
      </w:pPr>
      <w:r>
        <w:rPr>
          <w:rFonts w:hint="eastAsia" w:ascii="宋体" w:hAnsi="宋体" w:cs="宋体"/>
          <w:szCs w:val="21"/>
        </w:rPr>
        <w:t>10. 如教职工体检查出重大疾病及传染性疾病，供应商应及时通知采购人及教职工本人。</w:t>
      </w:r>
    </w:p>
    <w:p w14:paraId="2D64509A">
      <w:pPr>
        <w:spacing w:line="360" w:lineRule="auto"/>
        <w:ind w:firstLine="640"/>
        <w:rPr>
          <w:rFonts w:hint="eastAsia" w:ascii="宋体" w:hAnsi="宋体" w:cs="宋体"/>
          <w:szCs w:val="21"/>
        </w:rPr>
      </w:pPr>
      <w:r>
        <w:rPr>
          <w:rFonts w:hint="eastAsia" w:ascii="宋体" w:hAnsi="宋体" w:cs="宋体"/>
          <w:szCs w:val="21"/>
        </w:rPr>
        <w:t>11. 供应商需及时汇总体检异常情况及单位整体体检统计报告，并以书面方式通知采购人。</w:t>
      </w:r>
    </w:p>
    <w:p w14:paraId="68CD604D">
      <w:pPr>
        <w:spacing w:line="360" w:lineRule="auto"/>
        <w:ind w:firstLine="640"/>
        <w:rPr>
          <w:rFonts w:hint="eastAsia" w:ascii="宋体" w:hAnsi="宋体" w:cs="宋体"/>
          <w:szCs w:val="21"/>
        </w:rPr>
      </w:pPr>
      <w:r>
        <w:rPr>
          <w:rFonts w:hint="eastAsia" w:ascii="宋体" w:hAnsi="宋体" w:cs="宋体"/>
          <w:szCs w:val="21"/>
        </w:rPr>
        <w:t>12. 体检报告信息结果需保证真实准确，体检整体结束后提供专家团体免费咨询、上门集中或电话解读体检报告服务以及回访服务。</w:t>
      </w:r>
    </w:p>
    <w:p w14:paraId="5D5E4A07">
      <w:pPr>
        <w:spacing w:line="360" w:lineRule="auto"/>
        <w:ind w:firstLine="640"/>
        <w:rPr>
          <w:rFonts w:hint="eastAsia" w:ascii="宋体" w:hAnsi="宋体" w:cs="宋体"/>
          <w:szCs w:val="21"/>
        </w:rPr>
      </w:pPr>
      <w:r>
        <w:rPr>
          <w:rFonts w:hint="eastAsia" w:ascii="宋体" w:hAnsi="宋体" w:cs="宋体"/>
          <w:szCs w:val="21"/>
        </w:rPr>
        <w:t>13. 体检机构需对体检结果保密，严禁信息外泄。</w:t>
      </w:r>
    </w:p>
    <w:p w14:paraId="2AA95E83">
      <w:pPr>
        <w:spacing w:line="360" w:lineRule="auto"/>
        <w:ind w:firstLine="64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 体检教职工的总检报告须由获得主检医师资质的专职人员承担；自体检工作结束起 5天内，须提供书面《个人体检报告》，并可应教职工需要，提供电话解读一次，重要异常结果3日内电话通知到本人；甲方体检全部结束后3天内出具团体报告（电子）。</w:t>
      </w:r>
    </w:p>
    <w:p w14:paraId="4BD55AF4">
      <w:pPr>
        <w:pStyle w:val="5"/>
        <w:spacing w:line="360" w:lineRule="auto"/>
        <w:ind w:firstLine="64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体检服务方案内容全面详尽，科学服务流程合理，可操作性强，管理完善。服务流程应安排科学合理，方便疏散，引导减少等候时间；能提供快速体检通道，不与门诊或住院患者交叉。供应商、体检机构、任何服务人员不得以任何理由向体检人员推介其他服务。如出现体检人员投诉，供应商须在24小时内妥善处理。</w:t>
      </w:r>
    </w:p>
    <w:p w14:paraId="7BE923EF">
      <w:pPr>
        <w:pStyle w:val="5"/>
        <w:spacing w:line="360" w:lineRule="auto"/>
        <w:ind w:firstLine="64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 为保证体检报告的准确性、权威性，原则上，教职工健康体检报告的整体审核意见应由供应商正式在职的具有副主任医师及以上专业技术职称的医师出具。</w:t>
      </w:r>
    </w:p>
    <w:p w14:paraId="267FEF22">
      <w:pPr>
        <w:pStyle w:val="5"/>
        <w:spacing w:line="360" w:lineRule="auto"/>
        <w:ind w:firstLine="64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在本项目实施过程中，成交供应商除按合同双方约定收取服务费用外，不得以任何理由要求采购人增加任何费用，并不得以项目时间延长或费用超出预期等任何其他理由中止、中断提供服务。</w:t>
      </w:r>
    </w:p>
    <w:p w14:paraId="4F7D7F0F">
      <w:pPr>
        <w:pStyle w:val="5"/>
        <w:spacing w:line="360" w:lineRule="auto"/>
        <w:ind w:firstLine="640"/>
        <w:rPr>
          <w:rFonts w:hint="eastAsia" w:ascii="宋体" w:hAnsi="宋体" w:cs="宋体"/>
          <w:b/>
          <w:bCs/>
          <w:szCs w:val="21"/>
        </w:rPr>
      </w:pPr>
      <w:r>
        <w:rPr>
          <w:rFonts w:hint="eastAsia" w:ascii="宋体" w:hAnsi="宋体" w:cs="宋体"/>
          <w:b/>
          <w:bCs/>
          <w:szCs w:val="21"/>
        </w:rPr>
        <w:t>（三）保密要求</w:t>
      </w:r>
    </w:p>
    <w:p w14:paraId="3DC4E3EF">
      <w:pPr>
        <w:pStyle w:val="5"/>
        <w:spacing w:line="360" w:lineRule="auto"/>
        <w:ind w:firstLine="640"/>
        <w:rPr>
          <w:rFonts w:hint="eastAsia" w:ascii="宋体" w:hAnsi="宋体" w:cs="宋体"/>
          <w:szCs w:val="21"/>
        </w:rPr>
      </w:pPr>
      <w:r>
        <w:rPr>
          <w:rFonts w:hint="eastAsia" w:ascii="宋体" w:hAnsi="宋体" w:cs="宋体"/>
          <w:szCs w:val="21"/>
        </w:rPr>
        <w:t>1. 严格遵守法律法规规定，认真执行国家及相关制度要求，确保体检人员信息安全，严禁信息泄露和滥用事件发生；</w:t>
      </w:r>
    </w:p>
    <w:p w14:paraId="1834DE41">
      <w:pPr>
        <w:pStyle w:val="5"/>
        <w:spacing w:line="360" w:lineRule="auto"/>
        <w:ind w:firstLine="640"/>
        <w:rPr>
          <w:rFonts w:hint="eastAsia" w:ascii="宋体" w:hAnsi="宋体" w:cs="宋体"/>
          <w:szCs w:val="21"/>
        </w:rPr>
      </w:pPr>
      <w:r>
        <w:rPr>
          <w:rFonts w:hint="eastAsia" w:ascii="宋体" w:hAnsi="宋体" w:cs="宋体"/>
          <w:szCs w:val="21"/>
        </w:rPr>
        <w:t>2. 在收集、使用体检人员信息时，严格遵循合法、正当、必要的原则，公开收集、使用规则，明示收集、使用信息的目的、方式和范围，并经体检人员本人同意；</w:t>
      </w:r>
    </w:p>
    <w:p w14:paraId="3E9FAC10">
      <w:pPr>
        <w:pStyle w:val="5"/>
        <w:spacing w:line="360" w:lineRule="auto"/>
        <w:ind w:firstLine="640"/>
        <w:rPr>
          <w:rFonts w:hint="eastAsia" w:ascii="宋体" w:hAnsi="宋体" w:cs="宋体"/>
          <w:szCs w:val="21"/>
        </w:rPr>
      </w:pPr>
      <w:r>
        <w:rPr>
          <w:rFonts w:hint="eastAsia" w:ascii="宋体" w:hAnsi="宋体" w:cs="宋体"/>
          <w:szCs w:val="21"/>
        </w:rPr>
        <w:t>3. 不泄露、篡改、毁损，不出售或者非法向他人提供体检人员信息，不基于个人或其他不正当目的收集、查询、使用体检人员信息，不收集、查询、使用与所提供服务或办理业务无关的体检人员信息，不违反法律法规的规定和双方的约定收集、查询、使用体检人员信息，并严格依照法律法规的规定和与体检人员的约定，处理所保存的体检人员信息；</w:t>
      </w:r>
    </w:p>
    <w:p w14:paraId="5C95E05F">
      <w:pPr>
        <w:pStyle w:val="5"/>
        <w:spacing w:line="360" w:lineRule="auto"/>
        <w:ind w:firstLine="640"/>
        <w:rPr>
          <w:rFonts w:hint="eastAsia" w:ascii="宋体" w:hAnsi="宋体" w:cs="宋体"/>
          <w:szCs w:val="21"/>
        </w:rPr>
      </w:pPr>
      <w:r>
        <w:rPr>
          <w:rFonts w:hint="eastAsia" w:ascii="宋体" w:hAnsi="宋体" w:cs="宋体"/>
          <w:szCs w:val="21"/>
        </w:rPr>
        <w:t>4. 切实履行信息的保密义务。对工作履职或者提供服务过程中所获悉的所有体检人员信息承担保密义务。不私自复制、不正当使用、泄露或进行任何形式的交易，并采取合理、必要保护措施，防止他人非法获取，妥善保管记载体检人员信息的载体；</w:t>
      </w:r>
    </w:p>
    <w:p w14:paraId="34FF8B9A">
      <w:pPr>
        <w:spacing w:line="360" w:lineRule="auto"/>
        <w:ind w:firstLine="640"/>
        <w:rPr>
          <w:rFonts w:hint="eastAsia" w:ascii="宋体" w:hAnsi="宋体" w:cs="宋体"/>
          <w:szCs w:val="21"/>
        </w:rPr>
      </w:pPr>
      <w:r>
        <w:rPr>
          <w:rFonts w:hint="eastAsia" w:ascii="宋体" w:hAnsi="宋体" w:cs="宋体"/>
          <w:szCs w:val="21"/>
        </w:rPr>
        <w:t>5. 在收集、存储体检人员信息有错误时，主动及时采取措施予以更正或者删除；切实保障采购人及体检人员的知情权、同意权、请求更正错误信息和删除不必要信息及获得救济等权利，并做好采购人的沟通解释工作。</w:t>
      </w:r>
    </w:p>
    <w:p w14:paraId="1C540ADD">
      <w:pPr>
        <w:pStyle w:val="4"/>
        <w:spacing w:line="360" w:lineRule="auto"/>
        <w:ind w:firstLine="413" w:firstLineChars="196"/>
        <w:rPr>
          <w:rFonts w:hint="eastAsia"/>
          <w:szCs w:val="21"/>
        </w:rPr>
      </w:pPr>
      <w:r>
        <w:rPr>
          <w:rFonts w:hint="eastAsia"/>
          <w:szCs w:val="21"/>
        </w:rPr>
        <w:t>三、报价要求</w:t>
      </w:r>
    </w:p>
    <w:p w14:paraId="074DE949">
      <w:pPr>
        <w:spacing w:line="360" w:lineRule="auto"/>
        <w:rPr>
          <w:szCs w:val="21"/>
        </w:rPr>
      </w:pPr>
      <w:r>
        <w:rPr>
          <w:rFonts w:hint="eastAsia"/>
          <w:b/>
          <w:bCs/>
          <w:szCs w:val="24"/>
        </w:rPr>
        <w:t xml:space="preserve"> </w:t>
      </w:r>
      <w:r>
        <w:rPr>
          <w:rFonts w:hint="eastAsia"/>
          <w:szCs w:val="24"/>
        </w:rPr>
        <w:t>本项目按单价（元/人）进行报价，</w:t>
      </w:r>
      <w:r>
        <w:rPr>
          <w:rFonts w:hint="eastAsia"/>
          <w:szCs w:val="24"/>
          <w:highlight w:val="none"/>
          <w:lang w:val="en-US" w:eastAsia="zh-CN"/>
        </w:rPr>
        <w:t>男职工、已婚女职工、未婚女职工所报的单价是统一的，否则为无效报价。</w:t>
      </w:r>
      <w:r>
        <w:rPr>
          <w:rFonts w:hint="eastAsia"/>
          <w:szCs w:val="24"/>
          <w:highlight w:val="none"/>
        </w:rPr>
        <w:t>结算时按实际体检人数和成交</w:t>
      </w:r>
      <w:r>
        <w:rPr>
          <w:rFonts w:hint="eastAsia"/>
          <w:szCs w:val="24"/>
        </w:rPr>
        <w:t>单价进行结算。</w:t>
      </w:r>
    </w:p>
    <w:p w14:paraId="2AAD7193">
      <w:pPr>
        <w:pStyle w:val="4"/>
        <w:spacing w:line="360" w:lineRule="auto"/>
        <w:ind w:firstLine="413" w:firstLineChars="196"/>
        <w:rPr>
          <w:rFonts w:hint="eastAsia"/>
          <w:szCs w:val="21"/>
        </w:rPr>
      </w:pPr>
      <w:r>
        <w:rPr>
          <w:rFonts w:hint="eastAsia"/>
          <w:szCs w:val="21"/>
        </w:rPr>
        <w:t>四、其他要求</w:t>
      </w:r>
    </w:p>
    <w:p w14:paraId="2782ECA2">
      <w:pPr>
        <w:pStyle w:val="4"/>
        <w:spacing w:line="360" w:lineRule="auto"/>
        <w:ind w:firstLine="422" w:firstLineChars="200"/>
      </w:pPr>
      <w:r>
        <w:rPr>
          <w:rFonts w:hint="eastAsia"/>
          <w:szCs w:val="21"/>
        </w:rPr>
        <w:t>响应人提供的证明材料须清晰地反映评审内容，如因材料模糊不清，导致磋商小组无法辨认的，磋商小组可以不予认可，一切后果由响应人自行承担。</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1778">
    <w:pPr>
      <w:pStyle w:val="8"/>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CABD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561CABD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998D"/>
    <w:multiLevelType w:val="singleLevel"/>
    <w:tmpl w:val="CF0D998D"/>
    <w:lvl w:ilvl="0" w:tentative="0">
      <w:start w:val="2"/>
      <w:numFmt w:val="chineseCounting"/>
      <w:suff w:val="nothing"/>
      <w:lvlText w:val="%1、"/>
      <w:lvlJc w:val="left"/>
      <w:rPr>
        <w:rFonts w:hint="eastAsia"/>
      </w:rPr>
    </w:lvl>
  </w:abstractNum>
  <w:abstractNum w:abstractNumId="1">
    <w:nsid w:val="6506B771"/>
    <w:multiLevelType w:val="singleLevel"/>
    <w:tmpl w:val="6506B771"/>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45903"/>
    <w:rsid w:val="3864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toc 6"/>
    <w:basedOn w:val="1"/>
    <w:next w:val="1"/>
    <w:qFormat/>
    <w:uiPriority w:val="0"/>
    <w:pPr>
      <w:ind w:left="1050"/>
      <w:jc w:val="left"/>
    </w:pPr>
    <w:rPr>
      <w:sz w:val="18"/>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2024-11-25T07:50:00Z</dcterms:created>
  <dc:creator>NTKO</dc:creator>
  <cp:lastModifiedBy>NTKO</cp:lastModifiedBy>
  <dcterms:modified xsi:type="dcterms:W3CDTF">2024-11-25T07:50:59Z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0ED57E56B0CF46F7BC7C7340BDECDDC7_11</vt:lpwstr>
  </property>
</Properties>
</file>