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92149B">
      <w:pPr>
        <w:widowControl w:val="0"/>
        <w:tabs>
          <w:tab w:val="right" w:leader="dot" w:pos="9060"/>
        </w:tabs>
        <w:spacing w:line="240" w:lineRule="auto"/>
        <w:ind w:left="0" w:leftChars="0"/>
        <w:jc w:val="center"/>
        <w:outlineLvl w:val="0"/>
        <w:rPr>
          <w:rFonts w:hint="eastAsia" w:ascii="宋体" w:hAnsi="宋体" w:eastAsia="宋体" w:cs="宋体"/>
          <w:b/>
          <w:bCs/>
          <w:color w:val="000000"/>
          <w:kern w:val="0"/>
          <w:sz w:val="32"/>
          <w:szCs w:val="32"/>
          <w:highlight w:val="none"/>
          <w:lang w:val="en-US" w:eastAsia="zh-CN" w:bidi="ar-SA"/>
        </w:rPr>
      </w:pPr>
      <w:r>
        <w:rPr>
          <w:rFonts w:hint="eastAsia" w:ascii="宋体" w:hAnsi="宋体" w:eastAsia="宋体" w:cs="宋体"/>
          <w:b/>
          <w:bCs/>
          <w:color w:val="000000"/>
          <w:kern w:val="2"/>
          <w:sz w:val="32"/>
          <w:szCs w:val="32"/>
          <w:highlight w:val="none"/>
          <w:lang w:val="en-US" w:eastAsia="zh-CN" w:bidi="ar-SA"/>
        </w:rPr>
        <w:t>货物需求及技术要求</w:t>
      </w:r>
    </w:p>
    <w:p w14:paraId="37A14BA7">
      <w:pPr>
        <w:keepNext/>
        <w:keepLines/>
        <w:widowControl w:val="0"/>
        <w:tabs>
          <w:tab w:val="left" w:pos="2730"/>
        </w:tabs>
        <w:wordWrap w:val="0"/>
        <w:autoSpaceDE w:val="0"/>
        <w:autoSpaceDN w:val="0"/>
        <w:adjustRightInd w:val="0"/>
        <w:spacing w:line="440" w:lineRule="exact"/>
        <w:ind w:firstLine="472" w:firstLineChars="196"/>
        <w:jc w:val="left"/>
        <w:outlineLvl w:val="2"/>
        <w:rPr>
          <w:rFonts w:hint="eastAsia" w:ascii="宋体" w:hAnsi="宋体" w:eastAsia="宋体" w:cs="Times New Roman"/>
          <w:b/>
          <w:bCs/>
          <w:color w:val="auto"/>
          <w:kern w:val="0"/>
          <w:sz w:val="24"/>
          <w:szCs w:val="24"/>
          <w:highlight w:val="none"/>
          <w:lang w:val="en-US" w:eastAsia="zh-CN" w:bidi="ar-SA"/>
        </w:rPr>
      </w:pPr>
      <w:bookmarkStart w:id="0" w:name="_Toc7241"/>
      <w:bookmarkStart w:id="1" w:name="_Toc20302"/>
      <w:r>
        <w:rPr>
          <w:rFonts w:hint="eastAsia" w:ascii="宋体" w:hAnsi="宋体" w:eastAsia="宋体" w:cs="Times New Roman"/>
          <w:b/>
          <w:bCs/>
          <w:color w:val="auto"/>
          <w:kern w:val="0"/>
          <w:sz w:val="24"/>
          <w:szCs w:val="24"/>
          <w:highlight w:val="none"/>
          <w:lang w:val="en-US" w:eastAsia="zh-CN" w:bidi="ar-SA"/>
        </w:rPr>
        <w:t>一、商务要求：</w:t>
      </w:r>
    </w:p>
    <w:tbl>
      <w:tblPr>
        <w:tblStyle w:val="2"/>
        <w:tblW w:w="88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
        <w:gridCol w:w="2106"/>
        <w:gridCol w:w="5955"/>
      </w:tblGrid>
      <w:tr w14:paraId="1F4A3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jc w:val="center"/>
        </w:trPr>
        <w:tc>
          <w:tcPr>
            <w:tcW w:w="808" w:type="dxa"/>
            <w:vAlign w:val="center"/>
          </w:tcPr>
          <w:p w14:paraId="3F5DF1AC">
            <w:pPr>
              <w:widowControl w:val="0"/>
              <w:jc w:val="center"/>
              <w:rPr>
                <w:rFonts w:ascii="宋体" w:hAnsi="宋体" w:eastAsia="宋体" w:cs="Wingdings"/>
                <w:b/>
                <w:color w:val="auto"/>
                <w:kern w:val="2"/>
                <w:sz w:val="24"/>
                <w:szCs w:val="24"/>
                <w:highlight w:val="none"/>
                <w:lang w:val="en-US" w:eastAsia="zh-CN" w:bidi="ar-SA"/>
              </w:rPr>
            </w:pPr>
            <w:r>
              <w:rPr>
                <w:rFonts w:hint="eastAsia" w:ascii="宋体" w:hAnsi="宋体" w:eastAsia="宋体" w:cs="Wingdings"/>
                <w:b/>
                <w:color w:val="auto"/>
                <w:kern w:val="2"/>
                <w:sz w:val="24"/>
                <w:szCs w:val="24"/>
                <w:highlight w:val="none"/>
                <w:lang w:val="en-US" w:eastAsia="zh-CN" w:bidi="ar-SA"/>
              </w:rPr>
              <w:t>序号</w:t>
            </w:r>
          </w:p>
        </w:tc>
        <w:tc>
          <w:tcPr>
            <w:tcW w:w="2106" w:type="dxa"/>
            <w:vAlign w:val="center"/>
          </w:tcPr>
          <w:p w14:paraId="6A534558">
            <w:pPr>
              <w:widowControl w:val="0"/>
              <w:jc w:val="center"/>
              <w:rPr>
                <w:rFonts w:ascii="宋体" w:hAnsi="Courier New" w:eastAsia="宋体" w:cs="Times New Roman"/>
                <w:color w:val="auto"/>
                <w:kern w:val="2"/>
                <w:sz w:val="24"/>
                <w:szCs w:val="24"/>
                <w:highlight w:val="none"/>
                <w:lang w:val="en-US" w:eastAsia="zh-CN" w:bidi="ar-SA"/>
              </w:rPr>
            </w:pPr>
            <w:r>
              <w:rPr>
                <w:rFonts w:hint="eastAsia" w:ascii="宋体" w:hAnsi="宋体" w:eastAsia="宋体" w:cs="Times New Roman"/>
                <w:b/>
                <w:bCs/>
                <w:color w:val="auto"/>
                <w:kern w:val="2"/>
                <w:sz w:val="24"/>
                <w:szCs w:val="24"/>
                <w:highlight w:val="none"/>
                <w:lang w:val="en-US" w:eastAsia="zh-CN" w:bidi="ar-SA"/>
              </w:rPr>
              <w:t>商务条款名称</w:t>
            </w:r>
          </w:p>
        </w:tc>
        <w:tc>
          <w:tcPr>
            <w:tcW w:w="5955" w:type="dxa"/>
            <w:vAlign w:val="center"/>
          </w:tcPr>
          <w:p w14:paraId="5DB43298">
            <w:pPr>
              <w:widowControl w:val="0"/>
              <w:jc w:val="center"/>
              <w:rPr>
                <w:rFonts w:ascii="宋体" w:hAnsi="宋体" w:eastAsia="宋体" w:cs="Wingdings"/>
                <w:b/>
                <w:color w:val="auto"/>
                <w:kern w:val="2"/>
                <w:sz w:val="24"/>
                <w:szCs w:val="24"/>
                <w:highlight w:val="none"/>
                <w:lang w:val="en-US" w:eastAsia="zh-CN" w:bidi="ar-SA"/>
              </w:rPr>
            </w:pPr>
            <w:r>
              <w:rPr>
                <w:rFonts w:hint="eastAsia" w:ascii="宋体" w:hAnsi="宋体" w:eastAsia="宋体" w:cs="Wingdings"/>
                <w:b/>
                <w:color w:val="auto"/>
                <w:kern w:val="2"/>
                <w:sz w:val="24"/>
                <w:szCs w:val="24"/>
                <w:highlight w:val="none"/>
                <w:lang w:val="en-US" w:eastAsia="zh-CN" w:bidi="ar-SA"/>
              </w:rPr>
              <w:t>具体要求内容</w:t>
            </w:r>
          </w:p>
        </w:tc>
      </w:tr>
      <w:tr w14:paraId="79B2C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08" w:type="dxa"/>
            <w:vAlign w:val="center"/>
          </w:tcPr>
          <w:p w14:paraId="62FEAE9D">
            <w:pPr>
              <w:jc w:val="center"/>
              <w:rPr>
                <w:rFonts w:ascii="宋体" w:hAnsi="宋体" w:eastAsia="宋体" w:cs="Times New Roman"/>
                <w:color w:val="auto"/>
                <w:sz w:val="21"/>
                <w:szCs w:val="21"/>
                <w:highlight w:val="none"/>
              </w:rPr>
            </w:pPr>
            <w:r>
              <w:rPr>
                <w:rFonts w:ascii="宋体" w:hAnsi="宋体" w:eastAsia="宋体" w:cs="Times New Roman"/>
                <w:color w:val="auto"/>
                <w:sz w:val="21"/>
                <w:szCs w:val="21"/>
                <w:highlight w:val="none"/>
              </w:rPr>
              <w:t>1</w:t>
            </w:r>
          </w:p>
        </w:tc>
        <w:tc>
          <w:tcPr>
            <w:tcW w:w="2106" w:type="dxa"/>
            <w:vAlign w:val="center"/>
          </w:tcPr>
          <w:p w14:paraId="67FAD2E1">
            <w:pPr>
              <w:jc w:val="center"/>
              <w:rPr>
                <w:rFonts w:ascii="宋体" w:hAnsi="宋体" w:eastAsia="宋体" w:cs="Times New Roman"/>
                <w:color w:val="auto"/>
                <w:sz w:val="21"/>
                <w:szCs w:val="21"/>
                <w:highlight w:val="none"/>
              </w:rPr>
            </w:pPr>
            <w:r>
              <w:rPr>
                <w:rFonts w:ascii="宋体" w:hAnsi="宋体" w:eastAsia="宋体" w:cs="Times New Roman"/>
                <w:color w:val="auto"/>
                <w:sz w:val="21"/>
                <w:szCs w:val="21"/>
                <w:highlight w:val="none"/>
              </w:rPr>
              <w:t>付款方式</w:t>
            </w:r>
          </w:p>
        </w:tc>
        <w:tc>
          <w:tcPr>
            <w:tcW w:w="5955" w:type="dxa"/>
            <w:vAlign w:val="center"/>
          </w:tcPr>
          <w:p w14:paraId="2F86D4FD">
            <w:pPr>
              <w:jc w:val="both"/>
              <w:rPr>
                <w:rFonts w:ascii="宋体" w:hAnsi="宋体" w:eastAsia="宋体" w:cs="Times New Roman"/>
                <w:color w:val="auto"/>
                <w:sz w:val="21"/>
                <w:szCs w:val="21"/>
                <w:highlight w:val="none"/>
              </w:rPr>
            </w:pPr>
            <w:r>
              <w:rPr>
                <w:rFonts w:hint="eastAsia" w:ascii="Times New Roman" w:hAnsi="Times New Roman" w:eastAsia="宋体" w:cs="Times New Roman"/>
                <w:highlight w:val="none"/>
                <w:lang w:val="en-US" w:eastAsia="zh-CN"/>
              </w:rPr>
              <w:t>签订合同后，经采购人验收合格，一次性付清。</w:t>
            </w:r>
          </w:p>
        </w:tc>
      </w:tr>
      <w:tr w14:paraId="72C53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jc w:val="center"/>
        </w:trPr>
        <w:tc>
          <w:tcPr>
            <w:tcW w:w="808" w:type="dxa"/>
            <w:vAlign w:val="center"/>
          </w:tcPr>
          <w:p w14:paraId="19222864">
            <w:pPr>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2</w:t>
            </w:r>
          </w:p>
        </w:tc>
        <w:tc>
          <w:tcPr>
            <w:tcW w:w="2106" w:type="dxa"/>
            <w:vAlign w:val="center"/>
          </w:tcPr>
          <w:p w14:paraId="7057A6FB">
            <w:pPr>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供货及安装地点</w:t>
            </w:r>
          </w:p>
        </w:tc>
        <w:tc>
          <w:tcPr>
            <w:tcW w:w="5955" w:type="dxa"/>
            <w:vAlign w:val="center"/>
          </w:tcPr>
          <w:p w14:paraId="16B376A4">
            <w:pPr>
              <w:jc w:val="both"/>
              <w:rPr>
                <w:rFonts w:hint="eastAsia" w:ascii="宋体" w:hAnsi="宋体" w:eastAsia="宋体" w:cs="Times New Roman"/>
                <w:color w:val="auto"/>
                <w:sz w:val="21"/>
                <w:szCs w:val="21"/>
                <w:highlight w:val="none"/>
                <w:lang w:eastAsia="zh-CN"/>
              </w:rPr>
            </w:pPr>
            <w:r>
              <w:rPr>
                <w:rFonts w:hint="eastAsia" w:ascii="宋体" w:hAnsi="宋体" w:eastAsia="宋体" w:cs="Times New Roman"/>
                <w:color w:val="auto"/>
                <w:sz w:val="21"/>
                <w:szCs w:val="21"/>
                <w:highlight w:val="none"/>
                <w:lang w:eastAsia="zh-CN"/>
              </w:rPr>
              <w:t>安庆职业技术学院</w:t>
            </w:r>
          </w:p>
        </w:tc>
      </w:tr>
      <w:tr w14:paraId="5E78A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jc w:val="center"/>
        </w:trPr>
        <w:tc>
          <w:tcPr>
            <w:tcW w:w="808" w:type="dxa"/>
            <w:vAlign w:val="center"/>
          </w:tcPr>
          <w:p w14:paraId="448BF459">
            <w:pPr>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3</w:t>
            </w:r>
          </w:p>
        </w:tc>
        <w:tc>
          <w:tcPr>
            <w:tcW w:w="2106" w:type="dxa"/>
            <w:vAlign w:val="center"/>
          </w:tcPr>
          <w:p w14:paraId="148262B7">
            <w:pPr>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供货及安装期限</w:t>
            </w:r>
          </w:p>
        </w:tc>
        <w:tc>
          <w:tcPr>
            <w:tcW w:w="5955" w:type="dxa"/>
            <w:vAlign w:val="center"/>
          </w:tcPr>
          <w:p w14:paraId="26E467CC">
            <w:pPr>
              <w:jc w:val="both"/>
              <w:rPr>
                <w:rFonts w:ascii="宋体" w:hAnsi="宋体" w:eastAsia="宋体" w:cs="Times New Roman"/>
                <w:color w:val="auto"/>
                <w:sz w:val="21"/>
                <w:szCs w:val="21"/>
                <w:highlight w:val="none"/>
              </w:rPr>
            </w:pPr>
            <w:r>
              <w:rPr>
                <w:rFonts w:hint="eastAsia" w:ascii="Times New Roman" w:hAnsi="Times New Roman" w:eastAsia="宋体" w:cs="Times New Roman"/>
                <w:highlight w:val="none"/>
                <w:lang w:val="en-US" w:eastAsia="zh-CN"/>
              </w:rPr>
              <w:t>签订合同后10日历天内完成。</w:t>
            </w:r>
          </w:p>
        </w:tc>
      </w:tr>
    </w:tbl>
    <w:p w14:paraId="451733A5">
      <w:pPr>
        <w:keepNext/>
        <w:keepLines/>
        <w:widowControl w:val="0"/>
        <w:tabs>
          <w:tab w:val="left" w:pos="2730"/>
        </w:tabs>
        <w:wordWrap w:val="0"/>
        <w:autoSpaceDE w:val="0"/>
        <w:autoSpaceDN w:val="0"/>
        <w:adjustRightInd w:val="0"/>
        <w:spacing w:line="440" w:lineRule="exact"/>
        <w:ind w:firstLine="472" w:firstLineChars="196"/>
        <w:jc w:val="left"/>
        <w:outlineLvl w:val="2"/>
        <w:rPr>
          <w:rFonts w:ascii="宋体" w:hAnsi="宋体" w:eastAsia="宋体" w:cs="Times New Roman"/>
          <w:b/>
          <w:bCs/>
          <w:color w:val="auto"/>
          <w:kern w:val="0"/>
          <w:sz w:val="24"/>
          <w:szCs w:val="24"/>
          <w:highlight w:val="none"/>
          <w:lang w:val="en-US" w:eastAsia="zh-CN" w:bidi="ar-SA"/>
        </w:rPr>
      </w:pPr>
      <w:r>
        <w:rPr>
          <w:rFonts w:hint="eastAsia" w:ascii="宋体" w:hAnsi="宋体" w:eastAsia="宋体" w:cs="Times New Roman"/>
          <w:b/>
          <w:bCs/>
          <w:color w:val="auto"/>
          <w:kern w:val="0"/>
          <w:sz w:val="24"/>
          <w:szCs w:val="24"/>
          <w:highlight w:val="none"/>
          <w:lang w:val="en-US" w:eastAsia="zh-CN" w:bidi="ar-SA"/>
        </w:rPr>
        <w:t>二、技术要求一览表</w:t>
      </w:r>
    </w:p>
    <w:tbl>
      <w:tblPr>
        <w:tblStyle w:val="2"/>
        <w:tblW w:w="96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1075"/>
        <w:gridCol w:w="5798"/>
        <w:gridCol w:w="662"/>
        <w:gridCol w:w="688"/>
        <w:gridCol w:w="677"/>
      </w:tblGrid>
      <w:tr w14:paraId="274CB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765" w:type="dxa"/>
            <w:tcBorders>
              <w:top w:val="single" w:color="auto" w:sz="4" w:space="0"/>
              <w:left w:val="single" w:color="auto" w:sz="4" w:space="0"/>
              <w:bottom w:val="single" w:color="auto" w:sz="4" w:space="0"/>
              <w:right w:val="single" w:color="auto" w:sz="4" w:space="0"/>
            </w:tcBorders>
            <w:vAlign w:val="center"/>
          </w:tcPr>
          <w:p w14:paraId="2E3978B7">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序号</w:t>
            </w:r>
          </w:p>
        </w:tc>
        <w:tc>
          <w:tcPr>
            <w:tcW w:w="1075" w:type="dxa"/>
            <w:tcBorders>
              <w:top w:val="single" w:color="auto" w:sz="4" w:space="0"/>
              <w:left w:val="single" w:color="auto" w:sz="4" w:space="0"/>
              <w:bottom w:val="single" w:color="auto" w:sz="4" w:space="0"/>
              <w:right w:val="single" w:color="auto" w:sz="4" w:space="0"/>
            </w:tcBorders>
            <w:vAlign w:val="center"/>
          </w:tcPr>
          <w:p w14:paraId="0C99FE26">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货物名称</w:t>
            </w:r>
          </w:p>
        </w:tc>
        <w:tc>
          <w:tcPr>
            <w:tcW w:w="5798" w:type="dxa"/>
            <w:tcBorders>
              <w:top w:val="single" w:color="auto" w:sz="4" w:space="0"/>
              <w:left w:val="single" w:color="auto" w:sz="4" w:space="0"/>
              <w:bottom w:val="single" w:color="auto" w:sz="4" w:space="0"/>
              <w:right w:val="single" w:color="auto" w:sz="4" w:space="0"/>
            </w:tcBorders>
            <w:vAlign w:val="center"/>
          </w:tcPr>
          <w:p w14:paraId="18AF9AA1">
            <w:pPr>
              <w:widowControl/>
              <w:spacing w:line="360" w:lineRule="auto"/>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技术参数</w:t>
            </w:r>
            <w:r>
              <w:rPr>
                <w:rFonts w:hint="eastAsia" w:ascii="宋体" w:hAnsi="宋体" w:eastAsia="宋体" w:cs="宋体"/>
                <w:color w:val="auto"/>
                <w:kern w:val="0"/>
                <w:sz w:val="21"/>
                <w:szCs w:val="21"/>
                <w:highlight w:val="none"/>
                <w:lang w:val="en-US" w:eastAsia="zh-CN"/>
              </w:rPr>
              <w:t>要求</w:t>
            </w:r>
          </w:p>
        </w:tc>
        <w:tc>
          <w:tcPr>
            <w:tcW w:w="662" w:type="dxa"/>
            <w:tcBorders>
              <w:top w:val="single" w:color="auto" w:sz="4" w:space="0"/>
              <w:left w:val="single" w:color="auto" w:sz="4" w:space="0"/>
              <w:bottom w:val="single" w:color="auto" w:sz="4" w:space="0"/>
              <w:right w:val="single" w:color="auto" w:sz="4" w:space="0"/>
            </w:tcBorders>
            <w:vAlign w:val="center"/>
          </w:tcPr>
          <w:p w14:paraId="2AA38786">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单位</w:t>
            </w:r>
          </w:p>
        </w:tc>
        <w:tc>
          <w:tcPr>
            <w:tcW w:w="688" w:type="dxa"/>
            <w:tcBorders>
              <w:top w:val="single" w:color="auto" w:sz="4" w:space="0"/>
              <w:left w:val="single" w:color="auto" w:sz="4" w:space="0"/>
              <w:bottom w:val="single" w:color="auto" w:sz="4" w:space="0"/>
              <w:right w:val="single" w:color="auto" w:sz="4" w:space="0"/>
            </w:tcBorders>
            <w:vAlign w:val="center"/>
          </w:tcPr>
          <w:p w14:paraId="3DD484DD">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数量</w:t>
            </w:r>
          </w:p>
        </w:tc>
        <w:tc>
          <w:tcPr>
            <w:tcW w:w="677" w:type="dxa"/>
            <w:tcBorders>
              <w:top w:val="single" w:color="auto" w:sz="4" w:space="0"/>
              <w:left w:val="single" w:color="auto" w:sz="4" w:space="0"/>
              <w:bottom w:val="single" w:color="auto" w:sz="4" w:space="0"/>
              <w:right w:val="single" w:color="auto" w:sz="4" w:space="0"/>
            </w:tcBorders>
            <w:vAlign w:val="center"/>
          </w:tcPr>
          <w:p w14:paraId="50D2FC81">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备注</w:t>
            </w:r>
          </w:p>
        </w:tc>
      </w:tr>
      <w:tr w14:paraId="566F1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765" w:type="dxa"/>
            <w:tcBorders>
              <w:top w:val="single" w:color="auto" w:sz="4" w:space="0"/>
              <w:left w:val="single" w:color="auto" w:sz="4" w:space="0"/>
              <w:bottom w:val="single" w:color="auto" w:sz="4" w:space="0"/>
              <w:right w:val="single" w:color="auto" w:sz="4" w:space="0"/>
            </w:tcBorders>
            <w:vAlign w:val="center"/>
          </w:tcPr>
          <w:p w14:paraId="4956D1CF">
            <w:pPr>
              <w:spacing w:beforeLines="0" w:after="0" w:afterLines="0"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sz w:val="21"/>
                <w:szCs w:val="21"/>
              </w:rPr>
              <w:t>1</w:t>
            </w:r>
          </w:p>
        </w:tc>
        <w:tc>
          <w:tcPr>
            <w:tcW w:w="1075" w:type="dxa"/>
            <w:tcBorders>
              <w:top w:val="single" w:color="auto" w:sz="4" w:space="0"/>
              <w:left w:val="single" w:color="auto" w:sz="4" w:space="0"/>
              <w:bottom w:val="single" w:color="auto" w:sz="4" w:space="0"/>
              <w:right w:val="single" w:color="auto" w:sz="4" w:space="0"/>
            </w:tcBorders>
            <w:vAlign w:val="center"/>
          </w:tcPr>
          <w:p w14:paraId="197791EC">
            <w:pPr>
              <w:spacing w:beforeLines="0" w:after="0" w:afterLines="0"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sz w:val="21"/>
                <w:szCs w:val="21"/>
              </w:rPr>
              <w:t>日志审计一体机</w:t>
            </w:r>
          </w:p>
        </w:tc>
        <w:tc>
          <w:tcPr>
            <w:tcW w:w="5798" w:type="dxa"/>
            <w:tcBorders>
              <w:top w:val="single" w:color="auto" w:sz="4" w:space="0"/>
              <w:left w:val="single" w:color="auto" w:sz="4" w:space="0"/>
              <w:bottom w:val="single" w:color="auto" w:sz="4" w:space="0"/>
              <w:right w:val="single" w:color="auto" w:sz="4" w:space="0"/>
            </w:tcBorders>
            <w:vAlign w:val="top"/>
          </w:tcPr>
          <w:p w14:paraId="138EE4F0">
            <w:pPr>
              <w:numPr>
                <w:ilvl w:val="0"/>
                <w:numId w:val="0"/>
              </w:numPr>
              <w:spacing w:beforeLines="0" w:after="0" w:afterLines="0" w:line="240" w:lineRule="auto"/>
              <w:rPr>
                <w:rFonts w:hint="eastAsia" w:ascii="宋体" w:hAnsi="宋体" w:eastAsia="宋体" w:cs="宋体"/>
                <w:strike/>
                <w:dstrike w:val="0"/>
                <w:color w:val="C00000"/>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硬件要求：1U设备，交流冗余电源，2个USB接口，1个RJ45串口,1个管理口，≥</w:t>
            </w:r>
            <w:r>
              <w:rPr>
                <w:rFonts w:hint="eastAsia" w:ascii="宋体" w:hAnsi="宋体" w:eastAsia="宋体" w:cs="宋体"/>
                <w:sz w:val="21"/>
                <w:szCs w:val="21"/>
                <w:lang w:val="en-US" w:eastAsia="zh-CN"/>
              </w:rPr>
              <w:t>6</w:t>
            </w:r>
            <w:r>
              <w:rPr>
                <w:rFonts w:hint="eastAsia" w:ascii="宋体" w:hAnsi="宋体" w:eastAsia="宋体" w:cs="宋体"/>
                <w:sz w:val="21"/>
                <w:szCs w:val="21"/>
              </w:rPr>
              <w:t>个千兆电口，≥1个接口扩展槽位，4TB SATA硬盘，本项目授权支持100个日志源。</w:t>
            </w:r>
            <w:r>
              <w:rPr>
                <w:rFonts w:hint="eastAsia" w:ascii="宋体" w:hAnsi="宋体" w:eastAsia="宋体" w:cs="宋体"/>
                <w:sz w:val="21"/>
                <w:szCs w:val="21"/>
              </w:rPr>
              <w:br w:type="textWrapping"/>
            </w:r>
            <w:r>
              <w:rPr>
                <w:rFonts w:hint="eastAsia" w:ascii="宋体" w:hAnsi="宋体" w:eastAsia="宋体" w:cs="宋体"/>
                <w:sz w:val="21"/>
                <w:szCs w:val="21"/>
              </w:rPr>
              <w:t>★2.系统应支持各种设备、网络设备、数据库、Windows主机、Linux主机、Web服务器、虚拟化平台、网络流量设备、中间件、业务系统、文件等日志的接入，同时支持规则自适应日志接入，仅输入IP范围及端口即可自动匹配相应规则，完成日志自动接入。</w:t>
            </w:r>
            <w:r>
              <w:rPr>
                <w:rFonts w:hint="eastAsia" w:ascii="宋体" w:hAnsi="宋体" w:eastAsia="宋体" w:cs="宋体"/>
                <w:b/>
                <w:bCs/>
                <w:sz w:val="21"/>
                <w:szCs w:val="21"/>
              </w:rPr>
              <w:t>（合同签订后供货前提供带有CNAS或CMA标识的第三方检测机构出具的检测报告复印件。）</w:t>
            </w:r>
            <w:r>
              <w:rPr>
                <w:rFonts w:hint="eastAsia" w:ascii="宋体" w:hAnsi="宋体" w:eastAsia="宋体" w:cs="宋体"/>
                <w:b/>
                <w:bCs/>
                <w:sz w:val="21"/>
                <w:szCs w:val="21"/>
              </w:rPr>
              <w:br w:type="textWrapping"/>
            </w:r>
            <w:r>
              <w:rPr>
                <w:rFonts w:hint="eastAsia" w:ascii="宋体" w:hAnsi="宋体" w:eastAsia="宋体" w:cs="宋体"/>
                <w:sz w:val="21"/>
                <w:szCs w:val="21"/>
              </w:rPr>
              <w:t>3.系统支持采集的设备厂家包括但不限于：NSFOCUS(绿盟科技)、Venustech(启明星辰)、Topsec(天融信)、DBAPPSecurit(安恒)、SANGFOR(深信服)、Hillstone(山石网科)、东软、瑞星、金山、网康、360网神、Dptech(迪普)、艾科网信、Imperva、Juniper(瞻博网络)、F5、Symantec(赛门铁克)、Deep Security(趋势科技)、MaAfee(迈克菲)、Fortinet(飞塔)、Windows、Linux/Unix、Cisco(思科)、HUAWEI(华为)、H3C(华三)、中兴、Apache、nginx 、IIS、WebLogic、Vmware、Kvm、Xen、OpenStack、Hyper-V、华为FusionSphere、Oracle、MySQL、PostgreSQL、SQL Server、Bind等。</w:t>
            </w:r>
            <w:r>
              <w:rPr>
                <w:rFonts w:hint="eastAsia" w:ascii="宋体" w:hAnsi="宋体" w:eastAsia="宋体" w:cs="宋体"/>
                <w:sz w:val="21"/>
                <w:szCs w:val="21"/>
              </w:rPr>
              <w:br w:type="textWrapping"/>
            </w:r>
            <w:r>
              <w:rPr>
                <w:rFonts w:hint="eastAsia" w:ascii="宋体" w:hAnsi="宋体" w:eastAsia="宋体" w:cs="宋体"/>
                <w:sz w:val="21"/>
                <w:szCs w:val="21"/>
              </w:rPr>
              <w:t>4.日志管理：系统应支持范式化日志多级提取，系统应支持正则、KV、格式串等多种灵活的提取方式，系统应支持自动生成正则以高效的辅助提取。</w:t>
            </w:r>
            <w:r>
              <w:rPr>
                <w:rFonts w:hint="eastAsia" w:ascii="宋体" w:hAnsi="宋体" w:eastAsia="宋体" w:cs="宋体"/>
                <w:sz w:val="21"/>
                <w:szCs w:val="21"/>
              </w:rPr>
              <w:br w:type="textWrapping"/>
            </w:r>
            <w:r>
              <w:rPr>
                <w:rFonts w:hint="eastAsia" w:ascii="宋体" w:hAnsi="宋体" w:eastAsia="宋体" w:cs="宋体"/>
                <w:sz w:val="21"/>
                <w:szCs w:val="21"/>
              </w:rPr>
              <w:t>5.支持规则自适应日志接入，支持将新接收的日志信息与系统内置规则、自定义规则进行匹配，将匹配度最高的规则与接收到的日志进行关联，完成自动接入。</w:t>
            </w:r>
            <w:r>
              <w:rPr>
                <w:rFonts w:hint="eastAsia" w:ascii="宋体" w:hAnsi="宋体" w:eastAsia="宋体" w:cs="宋体"/>
                <w:b/>
                <w:bCs/>
                <w:strike/>
                <w:dstrike w:val="0"/>
                <w:color w:val="C00000"/>
                <w:sz w:val="21"/>
                <w:szCs w:val="21"/>
              </w:rPr>
              <w:br w:type="textWrapping"/>
            </w:r>
            <w:r>
              <w:rPr>
                <w:rFonts w:hint="eastAsia" w:ascii="宋体" w:hAnsi="宋体" w:eastAsia="宋体" w:cs="宋体"/>
                <w:sz w:val="21"/>
                <w:szCs w:val="21"/>
              </w:rPr>
              <w:t>6.事件告警：系统应支持查询实时事件，支持自定义查询事件，支持模糊查询，系统应支持事件规则自定义，支持面向日志类型的规则配置。</w:t>
            </w:r>
            <w:r>
              <w:rPr>
                <w:rFonts w:hint="eastAsia" w:ascii="宋体" w:hAnsi="宋体" w:eastAsia="宋体" w:cs="宋体"/>
                <w:sz w:val="21"/>
                <w:szCs w:val="21"/>
              </w:rPr>
              <w:br w:type="textWrapping"/>
            </w:r>
            <w:r>
              <w:rPr>
                <w:rFonts w:hint="eastAsia" w:ascii="宋体" w:hAnsi="宋体" w:eastAsia="宋体" w:cs="宋体"/>
                <w:sz w:val="21"/>
                <w:szCs w:val="21"/>
              </w:rPr>
              <w:t>★7.资产管理：系统应支持对资产进行监控配置，包含资源监控、采集监控、采集限速等，支持展示资产的详细信息，点击关注资产，即可在资产列表中进行置顶。</w:t>
            </w:r>
            <w:r>
              <w:rPr>
                <w:rFonts w:hint="eastAsia" w:ascii="宋体" w:hAnsi="宋体" w:eastAsia="宋体" w:cs="宋体"/>
                <w:b/>
                <w:bCs/>
                <w:sz w:val="21"/>
                <w:szCs w:val="21"/>
              </w:rPr>
              <w:t>（合同签订后供货前提供带有CNAS或CMA标识的第三方检测机构出具的检测报告复印件。）</w:t>
            </w:r>
            <w:r>
              <w:rPr>
                <w:rFonts w:hint="eastAsia" w:ascii="宋体" w:hAnsi="宋体" w:eastAsia="宋体" w:cs="宋体"/>
                <w:b/>
                <w:bCs/>
                <w:sz w:val="21"/>
                <w:szCs w:val="21"/>
              </w:rPr>
              <w:br w:type="textWrapping"/>
            </w:r>
            <w:r>
              <w:rPr>
                <w:rFonts w:hint="eastAsia" w:ascii="宋体" w:hAnsi="宋体" w:eastAsia="宋体" w:cs="宋体"/>
                <w:sz w:val="21"/>
                <w:szCs w:val="21"/>
              </w:rPr>
              <w:t>8.报表管理：系统应能支持自定义报表目录、LOGO等；系统应能够按照多种维度统计日志信息，系统应支持统计分析报表与多种文件格式导出，系统应能支持用户上传自定义报表模板。</w:t>
            </w:r>
            <w:r>
              <w:rPr>
                <w:rFonts w:hint="eastAsia" w:ascii="宋体" w:hAnsi="宋体" w:eastAsia="宋体" w:cs="宋体"/>
                <w:sz w:val="21"/>
                <w:szCs w:val="21"/>
              </w:rPr>
              <w:br w:type="textWrapping"/>
            </w:r>
            <w:r>
              <w:rPr>
                <w:rFonts w:hint="eastAsia" w:ascii="宋体" w:hAnsi="宋体" w:eastAsia="宋体" w:cs="宋体"/>
                <w:sz w:val="21"/>
                <w:szCs w:val="21"/>
              </w:rPr>
              <w:t>9.用户管理：系统应支持支持用户自定义账号，系统应支持管理员、审计员、操作员多种权限设置，系统应支持来访IP限制，对暴力猜测IP地址进行锁定。</w:t>
            </w:r>
            <w:r>
              <w:rPr>
                <w:rFonts w:hint="eastAsia" w:ascii="宋体" w:hAnsi="宋体" w:eastAsia="宋体" w:cs="宋体"/>
                <w:sz w:val="21"/>
                <w:szCs w:val="21"/>
              </w:rPr>
              <w:br w:type="textWrapping"/>
            </w:r>
            <w:r>
              <w:rPr>
                <w:rFonts w:hint="eastAsia" w:ascii="宋体" w:hAnsi="宋体" w:eastAsia="宋体" w:cs="宋体"/>
                <w:sz w:val="21"/>
                <w:szCs w:val="21"/>
              </w:rPr>
              <w:t>10.支持的数据采集方式包括但不限于SYSLOG、RSYSLOG、SNMP Trap、FTP、ODBC、JDBC、Net flow、WMI、二进制数据、专用Agent等方式采集日志</w:t>
            </w:r>
            <w:r>
              <w:rPr>
                <w:rFonts w:hint="eastAsia" w:ascii="宋体" w:hAnsi="宋体" w:eastAsia="宋体" w:cs="宋体"/>
                <w:sz w:val="21"/>
                <w:szCs w:val="21"/>
                <w:lang w:eastAsia="zh-CN"/>
              </w:rPr>
              <w:t>。</w:t>
            </w:r>
          </w:p>
          <w:p w14:paraId="55AA2354">
            <w:pPr>
              <w:numPr>
                <w:ilvl w:val="0"/>
                <w:numId w:val="0"/>
              </w:numPr>
              <w:spacing w:beforeLines="0" w:after="0" w:afterLines="0" w:line="240" w:lineRule="auto"/>
              <w:ind w:left="0" w:leftChars="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rPr>
              <w:t>★12.免费原厂质保3年</w:t>
            </w:r>
            <w:r>
              <w:rPr>
                <w:rFonts w:hint="eastAsia" w:ascii="宋体" w:hAnsi="宋体" w:eastAsia="宋体" w:cs="宋体"/>
                <w:sz w:val="21"/>
                <w:szCs w:val="21"/>
                <w:lang w:eastAsia="zh-CN"/>
              </w:rPr>
              <w:t>。</w:t>
            </w:r>
            <w:r>
              <w:rPr>
                <w:rFonts w:hint="eastAsia" w:ascii="宋体" w:hAnsi="宋体" w:eastAsia="宋体" w:cs="宋体"/>
                <w:b/>
                <w:bCs/>
                <w:sz w:val="21"/>
                <w:szCs w:val="21"/>
              </w:rPr>
              <w:t>（响应文件中须提供承诺函，格式自拟）</w:t>
            </w:r>
          </w:p>
        </w:tc>
        <w:tc>
          <w:tcPr>
            <w:tcW w:w="662" w:type="dxa"/>
            <w:tcBorders>
              <w:top w:val="single" w:color="auto" w:sz="4" w:space="0"/>
              <w:left w:val="single" w:color="auto" w:sz="4" w:space="0"/>
              <w:bottom w:val="single" w:color="auto" w:sz="4" w:space="0"/>
              <w:right w:val="single" w:color="auto" w:sz="4" w:space="0"/>
            </w:tcBorders>
            <w:vAlign w:val="center"/>
          </w:tcPr>
          <w:p w14:paraId="07162777">
            <w:pPr>
              <w:spacing w:beforeLines="0" w:after="0" w:afterLines="0" w:line="240" w:lineRule="auto"/>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台</w:t>
            </w:r>
          </w:p>
        </w:tc>
        <w:tc>
          <w:tcPr>
            <w:tcW w:w="688" w:type="dxa"/>
            <w:tcBorders>
              <w:top w:val="single" w:color="auto" w:sz="4" w:space="0"/>
              <w:left w:val="single" w:color="auto" w:sz="4" w:space="0"/>
              <w:bottom w:val="single" w:color="auto" w:sz="4" w:space="0"/>
              <w:right w:val="single" w:color="auto" w:sz="4" w:space="0"/>
            </w:tcBorders>
            <w:vAlign w:val="center"/>
          </w:tcPr>
          <w:p w14:paraId="1C067256">
            <w:pPr>
              <w:spacing w:beforeLines="0" w:after="0" w:afterLines="0" w:line="240" w:lineRule="auto"/>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sz w:val="21"/>
                <w:szCs w:val="21"/>
              </w:rPr>
              <w:t>1</w:t>
            </w:r>
          </w:p>
        </w:tc>
        <w:tc>
          <w:tcPr>
            <w:tcW w:w="677" w:type="dxa"/>
            <w:tcBorders>
              <w:top w:val="single" w:color="auto" w:sz="4" w:space="0"/>
              <w:left w:val="single" w:color="auto" w:sz="4" w:space="0"/>
              <w:bottom w:val="single" w:color="auto" w:sz="4" w:space="0"/>
              <w:right w:val="single" w:color="auto" w:sz="4" w:space="0"/>
            </w:tcBorders>
            <w:vAlign w:val="center"/>
          </w:tcPr>
          <w:p w14:paraId="47B9A0EB">
            <w:pPr>
              <w:widowControl/>
              <w:spacing w:line="360" w:lineRule="auto"/>
              <w:jc w:val="center"/>
              <w:rPr>
                <w:rFonts w:hint="eastAsia" w:ascii="宋体" w:hAnsi="宋体" w:eastAsia="宋体" w:cs="宋体"/>
                <w:color w:val="auto"/>
                <w:kern w:val="0"/>
                <w:sz w:val="21"/>
                <w:szCs w:val="21"/>
                <w:highlight w:val="none"/>
                <w:lang w:eastAsia="zh-CN"/>
              </w:rPr>
            </w:pPr>
          </w:p>
        </w:tc>
      </w:tr>
      <w:tr w14:paraId="1E2A8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765" w:type="dxa"/>
            <w:tcBorders>
              <w:top w:val="single" w:color="auto" w:sz="4" w:space="0"/>
              <w:left w:val="single" w:color="auto" w:sz="4" w:space="0"/>
              <w:bottom w:val="single" w:color="auto" w:sz="4" w:space="0"/>
              <w:right w:val="single" w:color="auto" w:sz="4" w:space="0"/>
            </w:tcBorders>
            <w:vAlign w:val="center"/>
          </w:tcPr>
          <w:p w14:paraId="6793D002">
            <w:pPr>
              <w:spacing w:beforeLines="0" w:after="0" w:afterLines="0"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sz w:val="21"/>
                <w:szCs w:val="21"/>
              </w:rPr>
              <w:t>2</w:t>
            </w:r>
          </w:p>
        </w:tc>
        <w:tc>
          <w:tcPr>
            <w:tcW w:w="1075" w:type="dxa"/>
            <w:tcBorders>
              <w:top w:val="single" w:color="auto" w:sz="4" w:space="0"/>
              <w:left w:val="single" w:color="auto" w:sz="4" w:space="0"/>
              <w:bottom w:val="single" w:color="auto" w:sz="4" w:space="0"/>
              <w:right w:val="single" w:color="auto" w:sz="4" w:space="0"/>
            </w:tcBorders>
            <w:vAlign w:val="center"/>
          </w:tcPr>
          <w:p w14:paraId="3A59E944">
            <w:pPr>
              <w:spacing w:beforeLines="0" w:after="0" w:afterLines="0"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sz w:val="21"/>
                <w:szCs w:val="21"/>
                <w:highlight w:val="none"/>
              </w:rPr>
              <w:t>安全接入平台</w:t>
            </w:r>
          </w:p>
        </w:tc>
        <w:tc>
          <w:tcPr>
            <w:tcW w:w="5798" w:type="dxa"/>
            <w:tcBorders>
              <w:top w:val="single" w:color="auto" w:sz="4" w:space="0"/>
              <w:left w:val="single" w:color="auto" w:sz="4" w:space="0"/>
              <w:bottom w:val="single" w:color="auto" w:sz="4" w:space="0"/>
              <w:right w:val="single" w:color="auto" w:sz="4" w:space="0"/>
            </w:tcBorders>
            <w:vAlign w:val="top"/>
          </w:tcPr>
          <w:p w14:paraId="231AF085">
            <w:pPr>
              <w:numPr>
                <w:ilvl w:val="0"/>
                <w:numId w:val="0"/>
              </w:numPr>
              <w:spacing w:beforeLines="0" w:after="0" w:afterLines="0" w:line="240" w:lineRule="auto"/>
              <w:rPr>
                <w:rFonts w:hint="eastAsia" w:ascii="宋体" w:hAnsi="宋体" w:eastAsia="宋体" w:cs="宋体"/>
                <w:sz w:val="21"/>
                <w:szCs w:val="21"/>
              </w:rPr>
            </w:pPr>
            <w:r>
              <w:rPr>
                <w:rFonts w:hint="eastAsia" w:ascii="宋体" w:hAnsi="宋体" w:eastAsia="宋体" w:cs="宋体"/>
                <w:sz w:val="21"/>
                <w:szCs w:val="21"/>
              </w:rPr>
              <w:t>一、性能参数：</w:t>
            </w:r>
          </w:p>
          <w:p w14:paraId="2883479D">
            <w:pPr>
              <w:numPr>
                <w:ilvl w:val="0"/>
                <w:numId w:val="0"/>
              </w:numPr>
              <w:spacing w:beforeLines="0" w:after="0" w:afterLines="0" w:line="240" w:lineRule="auto"/>
              <w:rPr>
                <w:rFonts w:hint="eastAsia" w:ascii="宋体" w:hAnsi="宋体" w:eastAsia="宋体" w:cs="宋体"/>
                <w:sz w:val="21"/>
                <w:szCs w:val="21"/>
              </w:rPr>
            </w:pPr>
            <w:r>
              <w:rPr>
                <w:rFonts w:hint="eastAsia" w:ascii="宋体" w:hAnsi="宋体" w:eastAsia="宋体" w:cs="宋体"/>
                <w:sz w:val="21"/>
                <w:szCs w:val="21"/>
              </w:rPr>
              <w:t>设备</w:t>
            </w:r>
            <w:r>
              <w:rPr>
                <w:rFonts w:hint="eastAsia" w:ascii="宋体" w:hAnsi="宋体" w:eastAsia="宋体" w:cs="宋体"/>
                <w:sz w:val="21"/>
                <w:szCs w:val="21"/>
                <w:highlight w:val="none"/>
              </w:rPr>
              <w:t>具有CPU≥8C及以上处理器，32G及</w:t>
            </w:r>
            <w:r>
              <w:rPr>
                <w:rFonts w:hint="eastAsia" w:ascii="宋体" w:hAnsi="宋体" w:eastAsia="宋体" w:cs="宋体"/>
                <w:sz w:val="21"/>
                <w:szCs w:val="21"/>
              </w:rPr>
              <w:t>以上内存，4T及以上硬盘，6个千兆电口，2个万兆光口；标准2U设备。</w:t>
            </w:r>
          </w:p>
          <w:p w14:paraId="1AF0B003">
            <w:pPr>
              <w:numPr>
                <w:ilvl w:val="0"/>
                <w:numId w:val="0"/>
              </w:numPr>
              <w:spacing w:beforeLines="0" w:after="0" w:afterLines="0" w:line="240" w:lineRule="auto"/>
              <w:rPr>
                <w:rFonts w:hint="eastAsia" w:ascii="宋体" w:hAnsi="宋体" w:eastAsia="宋体" w:cs="宋体"/>
                <w:sz w:val="21"/>
                <w:szCs w:val="21"/>
              </w:rPr>
            </w:pPr>
            <w:r>
              <w:rPr>
                <w:rFonts w:hint="eastAsia" w:ascii="宋体" w:hAnsi="宋体" w:eastAsia="宋体" w:cs="宋体"/>
                <w:sz w:val="21"/>
                <w:szCs w:val="21"/>
              </w:rPr>
              <w:t>二、基本参数：</w:t>
            </w:r>
          </w:p>
          <w:p w14:paraId="634A0134">
            <w:pPr>
              <w:numPr>
                <w:ilvl w:val="0"/>
                <w:numId w:val="0"/>
              </w:numPr>
              <w:spacing w:beforeLines="0" w:after="0" w:afterLines="0" w:line="240" w:lineRule="auto"/>
              <w:rPr>
                <w:rFonts w:hint="eastAsia" w:ascii="宋体" w:hAnsi="宋体" w:eastAsia="宋体" w:cs="宋体"/>
                <w:sz w:val="21"/>
                <w:szCs w:val="21"/>
              </w:rPr>
            </w:pPr>
            <w:r>
              <w:rPr>
                <w:rFonts w:hint="eastAsia" w:ascii="宋体" w:hAnsi="宋体" w:eastAsia="宋体" w:cs="宋体"/>
                <w:sz w:val="21"/>
                <w:szCs w:val="21"/>
              </w:rPr>
              <w:t>1.支持并发用户数≥800。</w:t>
            </w:r>
          </w:p>
          <w:p w14:paraId="6A33BD1E">
            <w:pPr>
              <w:numPr>
                <w:ilvl w:val="0"/>
                <w:numId w:val="0"/>
              </w:numPr>
              <w:spacing w:beforeLines="0" w:after="0" w:afterLines="0" w:line="240" w:lineRule="auto"/>
              <w:rPr>
                <w:rFonts w:hint="eastAsia" w:ascii="宋体" w:hAnsi="宋体" w:eastAsia="宋体" w:cs="宋体"/>
                <w:sz w:val="21"/>
                <w:szCs w:val="21"/>
              </w:rPr>
            </w:pPr>
            <w:r>
              <w:rPr>
                <w:rFonts w:hint="eastAsia" w:ascii="宋体" w:hAnsi="宋体" w:eastAsia="宋体" w:cs="宋体"/>
                <w:sz w:val="21"/>
                <w:szCs w:val="21"/>
              </w:rPr>
              <w:t>三、部署模式：</w:t>
            </w:r>
          </w:p>
          <w:p w14:paraId="02388A3E">
            <w:pPr>
              <w:numPr>
                <w:ilvl w:val="0"/>
                <w:numId w:val="0"/>
              </w:numPr>
              <w:spacing w:beforeLines="0" w:after="0" w:afterLines="0" w:line="240" w:lineRule="auto"/>
              <w:rPr>
                <w:rFonts w:hint="eastAsia" w:ascii="宋体" w:hAnsi="宋体" w:eastAsia="宋体" w:cs="宋体"/>
                <w:sz w:val="21"/>
                <w:szCs w:val="21"/>
              </w:rPr>
            </w:pPr>
            <w:r>
              <w:rPr>
                <w:rFonts w:hint="eastAsia" w:ascii="宋体" w:hAnsi="宋体" w:eastAsia="宋体" w:cs="宋体"/>
                <w:sz w:val="21"/>
                <w:szCs w:val="21"/>
              </w:rPr>
              <w:t>1.支持软、硬件一体设备，必须为厂商自主研发产品，拥有自主知识产权。</w:t>
            </w:r>
          </w:p>
          <w:p w14:paraId="66A028AF">
            <w:pPr>
              <w:numPr>
                <w:ilvl w:val="0"/>
                <w:numId w:val="0"/>
              </w:numPr>
              <w:spacing w:beforeLines="0" w:after="0" w:afterLines="0" w:line="240" w:lineRule="auto"/>
              <w:rPr>
                <w:rFonts w:hint="eastAsia" w:ascii="宋体" w:hAnsi="宋体" w:eastAsia="宋体" w:cs="宋体"/>
                <w:sz w:val="21"/>
                <w:szCs w:val="21"/>
              </w:rPr>
            </w:pPr>
            <w:r>
              <w:rPr>
                <w:rFonts w:hint="eastAsia" w:ascii="宋体" w:hAnsi="宋体" w:eastAsia="宋体" w:cs="宋体"/>
                <w:sz w:val="21"/>
                <w:szCs w:val="21"/>
              </w:rPr>
              <w:t>四、协议支持：支持以下协议：</w:t>
            </w:r>
          </w:p>
          <w:p w14:paraId="26266C89">
            <w:pPr>
              <w:numPr>
                <w:ilvl w:val="0"/>
                <w:numId w:val="0"/>
              </w:numPr>
              <w:spacing w:beforeLines="0" w:after="0" w:afterLines="0" w:line="240" w:lineRule="auto"/>
              <w:rPr>
                <w:rFonts w:hint="eastAsia" w:ascii="宋体" w:hAnsi="宋体" w:eastAsia="宋体" w:cs="宋体"/>
                <w:sz w:val="21"/>
                <w:szCs w:val="21"/>
              </w:rPr>
            </w:pPr>
            <w:r>
              <w:rPr>
                <w:rFonts w:hint="eastAsia" w:ascii="宋体" w:hAnsi="宋体" w:eastAsia="宋体" w:cs="宋体"/>
                <w:sz w:val="21"/>
                <w:szCs w:val="21"/>
              </w:rPr>
              <w:t>HTTP,HTTPS,UDP,TCP,ICMP,SSH,SNMP,Telnet,SSL,IPV4，IPV6。</w:t>
            </w:r>
          </w:p>
          <w:p w14:paraId="0EE35A3D">
            <w:pPr>
              <w:numPr>
                <w:ilvl w:val="0"/>
                <w:numId w:val="0"/>
              </w:numPr>
              <w:spacing w:beforeLines="0" w:after="0" w:afterLines="0" w:line="240" w:lineRule="auto"/>
              <w:rPr>
                <w:rFonts w:hint="eastAsia" w:ascii="宋体" w:hAnsi="宋体" w:eastAsia="宋体" w:cs="宋体"/>
                <w:sz w:val="21"/>
                <w:szCs w:val="21"/>
              </w:rPr>
            </w:pPr>
            <w:r>
              <w:rPr>
                <w:rFonts w:hint="eastAsia" w:ascii="宋体" w:hAnsi="宋体" w:eastAsia="宋体" w:cs="宋体"/>
                <w:sz w:val="21"/>
                <w:szCs w:val="21"/>
              </w:rPr>
              <w:t>五、产品指标要求：</w:t>
            </w:r>
          </w:p>
          <w:p w14:paraId="34FD8279">
            <w:pPr>
              <w:numPr>
                <w:ilvl w:val="0"/>
                <w:numId w:val="0"/>
              </w:numPr>
              <w:spacing w:beforeLines="0" w:after="0" w:afterLines="0" w:line="240" w:lineRule="auto"/>
              <w:rPr>
                <w:rFonts w:hint="eastAsia" w:ascii="宋体" w:hAnsi="宋体" w:eastAsia="宋体" w:cs="宋体"/>
                <w:b/>
                <w:bCs/>
                <w:sz w:val="21"/>
                <w:szCs w:val="21"/>
              </w:rPr>
            </w:pPr>
            <w:r>
              <w:rPr>
                <w:rFonts w:hint="eastAsia" w:ascii="宋体" w:hAnsi="宋体" w:eastAsia="宋体" w:cs="宋体"/>
                <w:sz w:val="21"/>
                <w:szCs w:val="21"/>
              </w:rPr>
              <w:t>★1.产品需同时支持WEB VPN和SSL VPN模块。产品应在无需安装客户端或控件情况下，在后端进行业务发布方式即可访问学校电子图书资源、OA、科研、财务、教务系统等各类B/S业务系统。产品支持客户登录成功，可以通过点击对应访问图标的方式进行一键式访问。</w:t>
            </w:r>
            <w:r>
              <w:rPr>
                <w:rFonts w:hint="eastAsia" w:ascii="宋体" w:hAnsi="宋体" w:eastAsia="宋体" w:cs="宋体"/>
                <w:b/>
                <w:bCs/>
                <w:sz w:val="21"/>
                <w:szCs w:val="21"/>
              </w:rPr>
              <w:t>（响应文件中提供产品功能截图证明）</w:t>
            </w:r>
          </w:p>
          <w:p w14:paraId="2173FBD9">
            <w:pPr>
              <w:numPr>
                <w:ilvl w:val="0"/>
                <w:numId w:val="0"/>
              </w:numPr>
              <w:spacing w:beforeLines="0" w:after="0" w:afterLines="0" w:line="240" w:lineRule="auto"/>
              <w:rPr>
                <w:rFonts w:hint="eastAsia" w:ascii="宋体" w:hAnsi="宋体" w:eastAsia="宋体" w:cs="宋体"/>
                <w:sz w:val="21"/>
                <w:szCs w:val="21"/>
              </w:rPr>
            </w:pPr>
            <w:r>
              <w:rPr>
                <w:rFonts w:hint="eastAsia" w:ascii="宋体" w:hAnsi="宋体" w:eastAsia="宋体" w:cs="宋体"/>
                <w:sz w:val="21"/>
                <w:szCs w:val="21"/>
              </w:rPr>
              <w:t>2.产品支持WEB终端。在不安装任何控件下，只需从浏览器就可使用如：RDP、SSH、VNC、Telnet等维护工具，同时支持对操作过程视频录制回放功能，方便对运维终端的溯源审计。</w:t>
            </w:r>
          </w:p>
          <w:p w14:paraId="711597AA">
            <w:pPr>
              <w:numPr>
                <w:ilvl w:val="0"/>
                <w:numId w:val="0"/>
              </w:numPr>
              <w:spacing w:beforeLines="0" w:after="0" w:afterLines="0" w:line="240" w:lineRule="auto"/>
              <w:rPr>
                <w:rFonts w:hint="eastAsia" w:ascii="宋体" w:hAnsi="宋体" w:eastAsia="宋体" w:cs="宋体"/>
                <w:b/>
                <w:bCs/>
                <w:sz w:val="21"/>
                <w:szCs w:val="21"/>
              </w:rPr>
            </w:pPr>
            <w:r>
              <w:rPr>
                <w:rFonts w:hint="eastAsia" w:ascii="宋体" w:hAnsi="宋体" w:eastAsia="宋体" w:cs="宋体"/>
                <w:sz w:val="21"/>
                <w:szCs w:val="21"/>
              </w:rPr>
              <w:t>★3.产品需支持限制应用仅能在对应操作系统展示及访问。</w:t>
            </w:r>
            <w:r>
              <w:rPr>
                <w:rFonts w:hint="eastAsia" w:ascii="宋体" w:hAnsi="宋体" w:eastAsia="宋体" w:cs="宋体"/>
                <w:b/>
                <w:bCs/>
                <w:sz w:val="21"/>
                <w:szCs w:val="21"/>
              </w:rPr>
              <w:t>（响应文件中提供产品功能截图证明）</w:t>
            </w:r>
          </w:p>
          <w:p w14:paraId="2A525FD1">
            <w:pPr>
              <w:numPr>
                <w:ilvl w:val="0"/>
                <w:numId w:val="0"/>
              </w:numPr>
              <w:spacing w:beforeLines="0" w:after="0" w:afterLines="0" w:line="240" w:lineRule="auto"/>
              <w:rPr>
                <w:rFonts w:hint="eastAsia" w:ascii="宋体" w:hAnsi="宋体" w:eastAsia="宋体" w:cs="宋体"/>
                <w:b/>
                <w:bCs/>
                <w:sz w:val="21"/>
                <w:szCs w:val="21"/>
              </w:rPr>
            </w:pPr>
            <w:r>
              <w:rPr>
                <w:rFonts w:hint="eastAsia" w:ascii="宋体" w:hAnsi="宋体" w:eastAsia="宋体" w:cs="宋体"/>
                <w:sz w:val="21"/>
                <w:szCs w:val="21"/>
              </w:rPr>
              <w:t>★4.支持微信、企业微信、钉钉、飞书扫码登录方式及其他三方扫码登录，支持SIM卡认证、Ukey数字证书认证、TOTP认证、人脸认证方式，可对webvpn系统内发布的web应用进行免密登录配置，并支持企业微信、钉钉、飞书的数据同步，同步方式可配置全量同步、反向同步等同步方式。</w:t>
            </w:r>
            <w:r>
              <w:rPr>
                <w:rFonts w:hint="eastAsia" w:ascii="宋体" w:hAnsi="宋体" w:eastAsia="宋体" w:cs="宋体"/>
                <w:b/>
                <w:bCs/>
                <w:sz w:val="21"/>
                <w:szCs w:val="21"/>
              </w:rPr>
              <w:t>（响应文件中提供产品功能截图证明）</w:t>
            </w:r>
          </w:p>
          <w:p w14:paraId="07106BA8">
            <w:pPr>
              <w:numPr>
                <w:ilvl w:val="0"/>
                <w:numId w:val="0"/>
              </w:numPr>
              <w:spacing w:beforeLines="0" w:after="0" w:afterLines="0" w:line="240" w:lineRule="auto"/>
              <w:rPr>
                <w:rFonts w:hint="eastAsia" w:ascii="宋体" w:hAnsi="宋体" w:eastAsia="宋体" w:cs="宋体"/>
                <w:sz w:val="21"/>
                <w:szCs w:val="21"/>
              </w:rPr>
            </w:pPr>
            <w:r>
              <w:rPr>
                <w:rFonts w:hint="eastAsia" w:ascii="宋体" w:hAnsi="宋体" w:eastAsia="宋体" w:cs="宋体"/>
                <w:sz w:val="21"/>
                <w:szCs w:val="21"/>
              </w:rPr>
              <w:t>5.产品需支持IPV4 /IPV6双栈接入访问，IPV4和IPV6互访。</w:t>
            </w:r>
          </w:p>
          <w:p w14:paraId="1A36CA1B">
            <w:pPr>
              <w:numPr>
                <w:ilvl w:val="0"/>
                <w:numId w:val="0"/>
              </w:numPr>
              <w:spacing w:beforeLines="0" w:after="0" w:afterLines="0" w:line="240" w:lineRule="auto"/>
              <w:rPr>
                <w:rFonts w:hint="eastAsia" w:ascii="宋体" w:hAnsi="宋体" w:eastAsia="宋体" w:cs="宋体"/>
                <w:sz w:val="21"/>
                <w:szCs w:val="21"/>
              </w:rPr>
            </w:pPr>
            <w:r>
              <w:rPr>
                <w:rFonts w:hint="eastAsia" w:ascii="宋体" w:hAnsi="宋体" w:eastAsia="宋体" w:cs="宋体"/>
                <w:sz w:val="21"/>
                <w:szCs w:val="21"/>
              </w:rPr>
              <w:t>6.产品需与门户系统、网上办事大厅等系统做深度融合，保证用户不受时间地点限制，内外网使用体验感完全一致。</w:t>
            </w:r>
          </w:p>
          <w:p w14:paraId="61FF31B1">
            <w:pPr>
              <w:numPr>
                <w:ilvl w:val="0"/>
                <w:numId w:val="0"/>
              </w:numPr>
              <w:spacing w:beforeLines="0" w:after="0" w:afterLines="0" w:line="240" w:lineRule="auto"/>
              <w:rPr>
                <w:rFonts w:hint="eastAsia" w:ascii="宋体" w:hAnsi="宋体" w:eastAsia="宋体" w:cs="宋体"/>
                <w:sz w:val="21"/>
                <w:szCs w:val="21"/>
              </w:rPr>
            </w:pPr>
            <w:r>
              <w:rPr>
                <w:rFonts w:hint="eastAsia" w:ascii="宋体" w:hAnsi="宋体" w:eastAsia="宋体" w:cs="宋体"/>
                <w:sz w:val="21"/>
                <w:szCs w:val="21"/>
              </w:rPr>
              <w:t>7.产品需提供OAuth、CAS、SAML、DB、短信认证、AD、LDAP、RADIUS、MySQL、Oracle、SqlServer等认证方式。可针对用户支持密码、短信、邮件等多因素认证。</w:t>
            </w:r>
          </w:p>
          <w:p w14:paraId="61F402B7">
            <w:pPr>
              <w:numPr>
                <w:ilvl w:val="0"/>
                <w:numId w:val="0"/>
              </w:numPr>
              <w:spacing w:beforeLines="0" w:after="0" w:afterLines="0" w:line="240" w:lineRule="auto"/>
              <w:rPr>
                <w:rFonts w:hint="eastAsia" w:ascii="宋体" w:hAnsi="宋体" w:eastAsia="宋体" w:cs="宋体"/>
                <w:sz w:val="21"/>
                <w:szCs w:val="21"/>
              </w:rPr>
            </w:pPr>
            <w:r>
              <w:rPr>
                <w:rFonts w:hint="eastAsia" w:ascii="宋体" w:hAnsi="宋体" w:eastAsia="宋体" w:cs="宋体"/>
                <w:sz w:val="21"/>
                <w:szCs w:val="21"/>
              </w:rPr>
              <w:t>8.产品支持多种社交化认证方式，如微信、企业微信、钉钉扫码等。</w:t>
            </w:r>
          </w:p>
          <w:p w14:paraId="1E1B7687">
            <w:pPr>
              <w:numPr>
                <w:ilvl w:val="0"/>
                <w:numId w:val="0"/>
              </w:numPr>
              <w:spacing w:beforeLines="0" w:after="0" w:afterLines="0" w:line="240" w:lineRule="auto"/>
              <w:rPr>
                <w:rFonts w:hint="eastAsia" w:ascii="宋体" w:hAnsi="宋体" w:eastAsia="宋体" w:cs="宋体"/>
                <w:sz w:val="21"/>
                <w:szCs w:val="21"/>
              </w:rPr>
            </w:pPr>
            <w:r>
              <w:rPr>
                <w:rFonts w:hint="eastAsia" w:ascii="宋体" w:hAnsi="宋体" w:eastAsia="宋体" w:cs="宋体"/>
                <w:sz w:val="21"/>
                <w:szCs w:val="21"/>
              </w:rPr>
              <w:t>9.产品提供不少于4路ISP网络接入到用户网络，实现不同ISP线路快速接入，并保障访问的源进源出能力。</w:t>
            </w:r>
          </w:p>
          <w:p w14:paraId="6F46AF0C">
            <w:pPr>
              <w:numPr>
                <w:ilvl w:val="0"/>
                <w:numId w:val="0"/>
              </w:numPr>
              <w:spacing w:beforeLines="0" w:after="0" w:afterLines="0" w:line="240" w:lineRule="auto"/>
              <w:rPr>
                <w:rFonts w:hint="eastAsia" w:ascii="宋体" w:hAnsi="宋体" w:eastAsia="宋体" w:cs="宋体"/>
                <w:b/>
                <w:bCs/>
                <w:sz w:val="21"/>
                <w:szCs w:val="21"/>
                <w:highlight w:val="none"/>
              </w:rPr>
            </w:pPr>
            <w:r>
              <w:rPr>
                <w:rFonts w:hint="eastAsia" w:ascii="宋体" w:hAnsi="宋体" w:eastAsia="宋体" w:cs="宋体"/>
                <w:sz w:val="21"/>
                <w:szCs w:val="21"/>
              </w:rPr>
              <w:t>★10.支持与客户现有第三方APP进行SDK集成能力，且无需二次开发，可提供SDK文档，实现将vpn隧道能力集成给客户现有APP，用户登录自有APP后，即可具备vpn隧道能力。</w:t>
            </w:r>
            <w:r>
              <w:rPr>
                <w:rFonts w:hint="eastAsia" w:ascii="宋体" w:hAnsi="宋体" w:eastAsia="宋体" w:cs="宋体"/>
                <w:b/>
                <w:bCs/>
                <w:sz w:val="21"/>
                <w:szCs w:val="21"/>
                <w:highlight w:val="none"/>
              </w:rPr>
              <w:t>（响应文件中提供第三方APP接口对接的功能</w:t>
            </w:r>
            <w:r>
              <w:rPr>
                <w:rFonts w:hint="eastAsia" w:ascii="宋体" w:hAnsi="宋体" w:eastAsia="宋体" w:cs="宋体"/>
                <w:b/>
                <w:bCs/>
                <w:sz w:val="21"/>
                <w:szCs w:val="21"/>
                <w:highlight w:val="none"/>
                <w:lang w:val="en-US" w:eastAsia="zh-CN"/>
              </w:rPr>
              <w:t>截图证明</w:t>
            </w:r>
            <w:r>
              <w:rPr>
                <w:rFonts w:hint="eastAsia" w:ascii="宋体" w:hAnsi="宋体" w:eastAsia="宋体" w:cs="宋体"/>
                <w:b/>
                <w:bCs/>
                <w:sz w:val="21"/>
                <w:szCs w:val="21"/>
                <w:highlight w:val="none"/>
              </w:rPr>
              <w:t>）</w:t>
            </w:r>
          </w:p>
          <w:p w14:paraId="33F1F768">
            <w:pPr>
              <w:numPr>
                <w:ilvl w:val="0"/>
                <w:numId w:val="0"/>
              </w:numPr>
              <w:spacing w:beforeLines="0" w:after="0" w:afterLines="0" w:line="240" w:lineRule="auto"/>
              <w:rPr>
                <w:rFonts w:hint="eastAsia" w:ascii="宋体" w:hAnsi="宋体" w:eastAsia="宋体" w:cs="宋体"/>
                <w:sz w:val="21"/>
                <w:szCs w:val="21"/>
              </w:rPr>
            </w:pPr>
            <w:r>
              <w:rPr>
                <w:rFonts w:hint="eastAsia" w:ascii="宋体" w:hAnsi="宋体" w:eastAsia="宋体" w:cs="宋体"/>
                <w:sz w:val="21"/>
                <w:szCs w:val="21"/>
              </w:rPr>
              <w:t>11.支持创建临时账号，管理员可设置账号类型为临时或永久，临时账号可选择使用日期，过期后自动失效</w:t>
            </w:r>
            <w:r>
              <w:rPr>
                <w:rFonts w:hint="eastAsia" w:ascii="宋体" w:hAnsi="宋体" w:eastAsia="宋体" w:cs="宋体"/>
                <w:sz w:val="21"/>
                <w:szCs w:val="21"/>
                <w:lang w:eastAsia="zh-CN"/>
              </w:rPr>
              <w:t>。</w:t>
            </w:r>
            <w:r>
              <w:rPr>
                <w:rFonts w:hint="eastAsia" w:ascii="宋体" w:hAnsi="宋体" w:eastAsia="宋体" w:cs="宋体"/>
                <w:sz w:val="21"/>
                <w:szCs w:val="21"/>
              </w:rPr>
              <w:t xml:space="preserve"> </w:t>
            </w:r>
          </w:p>
          <w:p w14:paraId="41B34691">
            <w:pPr>
              <w:numPr>
                <w:ilvl w:val="0"/>
                <w:numId w:val="0"/>
              </w:numPr>
              <w:spacing w:beforeLines="0" w:after="0" w:afterLines="0" w:line="240" w:lineRule="auto"/>
              <w:rPr>
                <w:rFonts w:hint="eastAsia" w:ascii="宋体" w:hAnsi="宋体" w:eastAsia="宋体" w:cs="宋体"/>
                <w:sz w:val="21"/>
                <w:szCs w:val="21"/>
                <w:lang w:eastAsia="zh-CN"/>
              </w:rPr>
            </w:pPr>
            <w:r>
              <w:rPr>
                <w:rFonts w:hint="eastAsia" w:ascii="宋体" w:hAnsi="宋体" w:eastAsia="宋体" w:cs="宋体"/>
                <w:sz w:val="21"/>
                <w:szCs w:val="21"/>
              </w:rPr>
              <w:t>12.支持终端绑定，管理员可设置PC端、移动端终端最大绑定数量，可设置PC端、移动端设备绑定数量取值范围</w:t>
            </w:r>
            <w:r>
              <w:rPr>
                <w:rFonts w:hint="eastAsia" w:ascii="宋体" w:hAnsi="宋体" w:eastAsia="宋体" w:cs="宋体"/>
                <w:sz w:val="21"/>
                <w:szCs w:val="21"/>
                <w:lang w:eastAsia="zh-CN"/>
              </w:rPr>
              <w:t>。</w:t>
            </w:r>
          </w:p>
          <w:p w14:paraId="5D68D5EE">
            <w:pPr>
              <w:numPr>
                <w:ilvl w:val="0"/>
                <w:numId w:val="0"/>
              </w:numPr>
              <w:spacing w:beforeLines="0" w:after="0" w:afterLines="0" w:line="240" w:lineRule="auto"/>
              <w:rPr>
                <w:rFonts w:hint="eastAsia" w:ascii="宋体" w:hAnsi="宋体" w:eastAsia="宋体" w:cs="宋体"/>
                <w:sz w:val="21"/>
                <w:szCs w:val="21"/>
              </w:rPr>
            </w:pPr>
            <w:r>
              <w:rPr>
                <w:rFonts w:hint="eastAsia" w:ascii="宋体" w:hAnsi="宋体" w:eastAsia="宋体" w:cs="宋体"/>
                <w:sz w:val="21"/>
                <w:szCs w:val="21"/>
              </w:rPr>
              <w:t>★13.支持在终端上启用水印，可展示内容包括账号、终端名称和登录时间，可以配置字体大小、字体透明度、文字方向和颜色。</w:t>
            </w:r>
            <w:r>
              <w:rPr>
                <w:rFonts w:hint="eastAsia" w:ascii="宋体" w:hAnsi="宋体" w:eastAsia="宋体" w:cs="宋体"/>
                <w:b/>
                <w:bCs/>
                <w:sz w:val="21"/>
                <w:szCs w:val="21"/>
              </w:rPr>
              <w:t>（响应文件中提供产品功能截图证明）</w:t>
            </w:r>
          </w:p>
          <w:p w14:paraId="60EC110B">
            <w:pPr>
              <w:numPr>
                <w:ilvl w:val="0"/>
                <w:numId w:val="0"/>
              </w:numPr>
              <w:spacing w:beforeLines="0" w:after="0" w:afterLines="0" w:line="240" w:lineRule="auto"/>
              <w:rPr>
                <w:rFonts w:hint="eastAsia" w:ascii="宋体" w:hAnsi="宋体" w:eastAsia="宋体" w:cs="宋体"/>
                <w:b/>
                <w:bCs/>
                <w:sz w:val="21"/>
                <w:szCs w:val="21"/>
              </w:rPr>
            </w:pPr>
            <w:r>
              <w:rPr>
                <w:rFonts w:hint="eastAsia" w:ascii="宋体" w:hAnsi="宋体" w:eastAsia="宋体" w:cs="宋体"/>
                <w:sz w:val="21"/>
                <w:szCs w:val="21"/>
              </w:rPr>
              <w:t>★14.支持数据脱敏，对用户访问过程中，可对身份证、手机号、银行卡信息进行脱敏处理。</w:t>
            </w:r>
            <w:r>
              <w:rPr>
                <w:rFonts w:hint="eastAsia" w:ascii="宋体" w:hAnsi="宋体" w:eastAsia="宋体" w:cs="宋体"/>
                <w:b/>
                <w:bCs/>
                <w:sz w:val="21"/>
                <w:szCs w:val="21"/>
              </w:rPr>
              <w:t>（响应文件中提供产品功能截图证明）</w:t>
            </w:r>
          </w:p>
          <w:p w14:paraId="5D2AE84C">
            <w:pPr>
              <w:numPr>
                <w:ilvl w:val="0"/>
                <w:numId w:val="0"/>
              </w:numPr>
              <w:spacing w:beforeLines="0" w:after="0" w:afterLines="0" w:line="240" w:lineRule="auto"/>
              <w:rPr>
                <w:rFonts w:hint="eastAsia" w:ascii="宋体" w:hAnsi="宋体" w:eastAsia="宋体" w:cs="宋体"/>
                <w:sz w:val="21"/>
                <w:szCs w:val="21"/>
              </w:rPr>
            </w:pPr>
            <w:r>
              <w:rPr>
                <w:rFonts w:hint="eastAsia" w:ascii="宋体" w:hAnsi="宋体" w:eastAsia="宋体" w:cs="宋体"/>
                <w:sz w:val="21"/>
                <w:szCs w:val="21"/>
              </w:rPr>
              <w:t xml:space="preserve">15.支持创建内外网应用访问策略，内网IP支持配置IPv4、IPv6、IPv4段、IPv6段，执行范围支持以全局、所属用户组、用户的形式下发，应用范围支持以全局、应用组、应用、的形式下发； </w:t>
            </w:r>
          </w:p>
          <w:p w14:paraId="0AEC72CC">
            <w:pPr>
              <w:numPr>
                <w:ilvl w:val="0"/>
                <w:numId w:val="0"/>
              </w:numPr>
              <w:spacing w:beforeLines="0" w:after="0" w:afterLines="0" w:line="240" w:lineRule="auto"/>
              <w:rPr>
                <w:rFonts w:hint="eastAsia" w:ascii="宋体" w:hAnsi="宋体" w:eastAsia="宋体" w:cs="宋体"/>
                <w:b/>
                <w:bCs/>
                <w:sz w:val="21"/>
                <w:szCs w:val="21"/>
              </w:rPr>
            </w:pPr>
            <w:r>
              <w:rPr>
                <w:rFonts w:hint="eastAsia" w:ascii="宋体" w:hAnsi="宋体" w:eastAsia="宋体" w:cs="宋体"/>
                <w:sz w:val="21"/>
                <w:szCs w:val="21"/>
              </w:rPr>
              <w:t>★16.支持对于第三方用户进行用户组切换，便于对第三方人员权限进行细粒度的划分，支持开启/关闭反同步功能。</w:t>
            </w:r>
            <w:r>
              <w:rPr>
                <w:rFonts w:hint="eastAsia" w:ascii="宋体" w:hAnsi="宋体" w:eastAsia="宋体" w:cs="宋体"/>
                <w:b/>
                <w:bCs/>
                <w:sz w:val="21"/>
                <w:szCs w:val="21"/>
              </w:rPr>
              <w:t>（响应文件中提供产品功能截图证明）</w:t>
            </w:r>
          </w:p>
          <w:p w14:paraId="613E31EA">
            <w:pPr>
              <w:numPr>
                <w:ilvl w:val="0"/>
                <w:numId w:val="0"/>
              </w:numPr>
              <w:spacing w:beforeLines="0" w:after="0" w:afterLines="0" w:line="240" w:lineRule="auto"/>
              <w:rPr>
                <w:rFonts w:hint="eastAsia" w:ascii="宋体" w:hAnsi="宋体" w:eastAsia="宋体" w:cs="宋体"/>
                <w:sz w:val="21"/>
                <w:szCs w:val="21"/>
                <w:lang w:eastAsia="zh-CN"/>
              </w:rPr>
            </w:pPr>
            <w:r>
              <w:rPr>
                <w:rFonts w:hint="eastAsia" w:ascii="宋体" w:hAnsi="宋体" w:eastAsia="宋体" w:cs="宋体"/>
                <w:sz w:val="21"/>
                <w:szCs w:val="21"/>
              </w:rPr>
              <w:t>17.支持管理员角色和账号的创建，系统自带三权分立权限分配，包括：操作管理员、审计管理员和系统管理员</w:t>
            </w:r>
            <w:r>
              <w:rPr>
                <w:rFonts w:hint="eastAsia" w:ascii="宋体" w:hAnsi="宋体" w:eastAsia="宋体" w:cs="宋体"/>
                <w:sz w:val="21"/>
                <w:szCs w:val="21"/>
                <w:lang w:eastAsia="zh-CN"/>
              </w:rPr>
              <w:t>。</w:t>
            </w:r>
          </w:p>
          <w:p w14:paraId="3D568903">
            <w:pPr>
              <w:numPr>
                <w:ilvl w:val="0"/>
                <w:numId w:val="0"/>
              </w:numPr>
              <w:spacing w:beforeLines="0" w:after="0" w:afterLines="0" w:line="240" w:lineRule="auto"/>
              <w:rPr>
                <w:rFonts w:hint="eastAsia" w:ascii="宋体" w:hAnsi="宋体" w:eastAsia="宋体" w:cs="宋体"/>
                <w:b/>
                <w:bCs/>
                <w:sz w:val="21"/>
                <w:szCs w:val="21"/>
              </w:rPr>
            </w:pPr>
            <w:r>
              <w:rPr>
                <w:rFonts w:hint="eastAsia" w:ascii="宋体" w:hAnsi="宋体" w:eastAsia="宋体" w:cs="宋体"/>
                <w:sz w:val="21"/>
                <w:szCs w:val="21"/>
              </w:rPr>
              <w:t>★18.支持对软件资产进行分类并预置软件分类，包括1）安全软件 2）游戏 3）下载工具 4）解压刻录 5）音乐软件 6）聊天软件 7）网络应用 8）办公软件 9）系统工具 10）财务软件等，方便的用户终端软件的统一管理</w:t>
            </w:r>
            <w:r>
              <w:rPr>
                <w:rFonts w:hint="eastAsia" w:ascii="宋体" w:hAnsi="宋体" w:eastAsia="宋体" w:cs="宋体"/>
                <w:sz w:val="21"/>
                <w:szCs w:val="21"/>
                <w:lang w:eastAsia="zh-CN"/>
              </w:rPr>
              <w:t>。</w:t>
            </w:r>
            <w:r>
              <w:rPr>
                <w:rFonts w:hint="eastAsia" w:ascii="宋体" w:hAnsi="宋体" w:eastAsia="宋体" w:cs="宋体"/>
                <w:b/>
                <w:bCs/>
                <w:sz w:val="21"/>
                <w:szCs w:val="21"/>
              </w:rPr>
              <w:t>（响应文件中提供产品功能截图证明）</w:t>
            </w:r>
          </w:p>
          <w:p w14:paraId="7199D3C9">
            <w:pPr>
              <w:numPr>
                <w:ilvl w:val="0"/>
                <w:numId w:val="0"/>
              </w:numPr>
              <w:spacing w:beforeLines="0" w:after="0" w:afterLines="0" w:line="240" w:lineRule="auto"/>
              <w:rPr>
                <w:rFonts w:hint="eastAsia" w:ascii="宋体" w:hAnsi="宋体" w:eastAsia="宋体" w:cs="宋体"/>
                <w:sz w:val="21"/>
                <w:szCs w:val="21"/>
                <w:lang w:eastAsia="zh-CN"/>
              </w:rPr>
            </w:pPr>
            <w:r>
              <w:rPr>
                <w:rFonts w:hint="eastAsia" w:ascii="宋体" w:hAnsi="宋体" w:eastAsia="宋体" w:cs="宋体"/>
                <w:sz w:val="21"/>
                <w:szCs w:val="21"/>
              </w:rPr>
              <w:t>19.支持终端绑定，管理员可设置PC端、移动端终端最大绑定数量，可设置PC端、移动端设备绑定数量取值范围</w:t>
            </w:r>
            <w:r>
              <w:rPr>
                <w:rFonts w:hint="eastAsia" w:ascii="宋体" w:hAnsi="宋体" w:eastAsia="宋体" w:cs="宋体"/>
                <w:sz w:val="21"/>
                <w:szCs w:val="21"/>
                <w:lang w:eastAsia="zh-CN"/>
              </w:rPr>
              <w:t>。</w:t>
            </w:r>
          </w:p>
          <w:p w14:paraId="3C79DE59">
            <w:pPr>
              <w:numPr>
                <w:ilvl w:val="0"/>
                <w:numId w:val="0"/>
              </w:numPr>
              <w:spacing w:beforeLines="0" w:after="0" w:afterLines="0" w:line="240" w:lineRule="auto"/>
              <w:rPr>
                <w:rFonts w:hint="eastAsia" w:ascii="宋体" w:hAnsi="宋体" w:eastAsia="宋体" w:cs="宋体"/>
                <w:sz w:val="21"/>
                <w:szCs w:val="21"/>
              </w:rPr>
            </w:pPr>
            <w:r>
              <w:rPr>
                <w:rFonts w:hint="eastAsia" w:ascii="宋体" w:hAnsi="宋体" w:eastAsia="宋体" w:cs="宋体"/>
                <w:sz w:val="21"/>
                <w:szCs w:val="21"/>
              </w:rPr>
              <w:t>★20.具备策略分发能力：支持基于用户的远程接入控制策略分发、支持基于用户角色的远程接入控制策略分发；支持用户认证管理：包括用户管理、用户鉴别信息、用户身份鉴别等；支持双机热备模式部署</w:t>
            </w:r>
            <w:r>
              <w:rPr>
                <w:rFonts w:hint="eastAsia" w:ascii="宋体" w:hAnsi="宋体" w:eastAsia="宋体" w:cs="宋体"/>
                <w:sz w:val="21"/>
                <w:szCs w:val="21"/>
                <w:lang w:eastAsia="zh-CN"/>
              </w:rPr>
              <w:t>。</w:t>
            </w:r>
            <w:r>
              <w:rPr>
                <w:rFonts w:hint="eastAsia" w:ascii="宋体" w:hAnsi="宋体" w:eastAsia="宋体" w:cs="宋体"/>
                <w:b/>
                <w:bCs/>
                <w:sz w:val="21"/>
                <w:szCs w:val="21"/>
              </w:rPr>
              <w:t>（合同签订后供货前提供带有CNAS或CMA标识的第三方检测机构出具的检测报告复印件。）</w:t>
            </w:r>
          </w:p>
          <w:p w14:paraId="6444B3F0">
            <w:pPr>
              <w:numPr>
                <w:ilvl w:val="0"/>
                <w:numId w:val="0"/>
              </w:numPr>
              <w:spacing w:beforeLines="0" w:after="0" w:afterLines="0" w:line="240" w:lineRule="auto"/>
              <w:rPr>
                <w:rFonts w:hint="eastAsia" w:ascii="宋体" w:hAnsi="宋体" w:eastAsia="宋体" w:cs="宋体"/>
                <w:sz w:val="21"/>
                <w:szCs w:val="21"/>
              </w:rPr>
            </w:pPr>
            <w:r>
              <w:rPr>
                <w:rFonts w:hint="eastAsia" w:ascii="宋体" w:hAnsi="宋体" w:eastAsia="宋体" w:cs="宋体"/>
                <w:sz w:val="21"/>
                <w:szCs w:val="21"/>
              </w:rPr>
              <w:t>★21. 支持多种认证方式编排形成认证链：</w:t>
            </w:r>
          </w:p>
          <w:p w14:paraId="5735FF3F">
            <w:pPr>
              <w:numPr>
                <w:ilvl w:val="0"/>
                <w:numId w:val="0"/>
              </w:numPr>
              <w:spacing w:beforeLines="0" w:after="0" w:afterLines="0" w:line="240" w:lineRule="auto"/>
              <w:rPr>
                <w:rFonts w:hint="eastAsia" w:ascii="宋体" w:hAnsi="宋体" w:eastAsia="宋体" w:cs="宋体"/>
                <w:b/>
                <w:bCs/>
                <w:sz w:val="21"/>
                <w:szCs w:val="21"/>
              </w:rPr>
            </w:pPr>
            <w:r>
              <w:rPr>
                <w:rFonts w:hint="eastAsia" w:ascii="宋体" w:hAnsi="宋体" w:eastAsia="宋体" w:cs="宋体"/>
                <w:sz w:val="21"/>
                <w:szCs w:val="21"/>
              </w:rPr>
              <w:t>（1）支持根据认证配置调用对应的认证因子进行认证，可对两个以上认证因子进行认证编排；</w:t>
            </w:r>
            <w:r>
              <w:rPr>
                <w:rFonts w:hint="eastAsia" w:ascii="宋体" w:hAnsi="宋体" w:eastAsia="宋体" w:cs="宋体"/>
                <w:b/>
                <w:bCs/>
                <w:sz w:val="21"/>
                <w:szCs w:val="21"/>
              </w:rPr>
              <w:t>（响应文件中提供产品功能截图证明）</w:t>
            </w:r>
          </w:p>
          <w:p w14:paraId="7150A925">
            <w:pPr>
              <w:numPr>
                <w:ilvl w:val="0"/>
                <w:numId w:val="0"/>
              </w:numPr>
              <w:spacing w:beforeLines="0" w:after="0" w:afterLines="0" w:line="240" w:lineRule="auto"/>
              <w:rPr>
                <w:rFonts w:hint="eastAsia" w:ascii="宋体" w:hAnsi="宋体" w:eastAsia="宋体" w:cs="宋体"/>
                <w:sz w:val="21"/>
                <w:szCs w:val="21"/>
              </w:rPr>
            </w:pPr>
            <w:r>
              <w:rPr>
                <w:rFonts w:hint="eastAsia" w:ascii="宋体" w:hAnsi="宋体" w:eastAsia="宋体" w:cs="宋体"/>
                <w:sz w:val="21"/>
                <w:szCs w:val="21"/>
              </w:rPr>
              <w:t>（2）支持任意一种认证和按照优先级等级认证两种多因子认证方式；</w:t>
            </w:r>
            <w:r>
              <w:rPr>
                <w:rFonts w:hint="eastAsia" w:ascii="宋体" w:hAnsi="宋体" w:eastAsia="宋体" w:cs="宋体"/>
                <w:b/>
                <w:bCs/>
                <w:sz w:val="21"/>
                <w:szCs w:val="21"/>
              </w:rPr>
              <w:t>（响应文件中提供产品功能截图证明）</w:t>
            </w:r>
          </w:p>
          <w:p w14:paraId="135FC3AC">
            <w:pPr>
              <w:numPr>
                <w:ilvl w:val="0"/>
                <w:numId w:val="0"/>
              </w:numPr>
              <w:spacing w:beforeLines="0" w:after="0" w:afterLines="0" w:line="240" w:lineRule="auto"/>
              <w:rPr>
                <w:rFonts w:hint="eastAsia" w:ascii="宋体" w:hAnsi="宋体" w:eastAsia="宋体" w:cs="宋体"/>
                <w:b/>
                <w:bCs/>
                <w:sz w:val="21"/>
                <w:szCs w:val="21"/>
                <w:lang w:eastAsia="zh-CN"/>
              </w:rPr>
            </w:pPr>
            <w:r>
              <w:rPr>
                <w:rFonts w:hint="eastAsia" w:ascii="宋体" w:hAnsi="宋体" w:eastAsia="宋体" w:cs="宋体"/>
                <w:sz w:val="21"/>
                <w:szCs w:val="21"/>
              </w:rPr>
              <w:t>★22.支持基于场景的安全策略编排，并以场景化进行保存，快速调用，如登录认证场景（内外网登录策略、威胁IP二次认证策略、账号撞库策略）、web应用访问场景、隧道管控场景（已知应用统计、未知应用标记、访问僵尸应用初始策略、数据采样）等；支持基于多场景安全策略评估结果联动控制，如在web应用访问场景中触发的安全策略评估结果，可以自动提供给用户登录场景进行调用</w:t>
            </w:r>
            <w:r>
              <w:rPr>
                <w:rFonts w:hint="eastAsia" w:ascii="宋体" w:hAnsi="宋体" w:eastAsia="宋体" w:cs="宋体"/>
                <w:sz w:val="21"/>
                <w:szCs w:val="21"/>
                <w:lang w:eastAsia="zh-CN"/>
              </w:rPr>
              <w:t>。</w:t>
            </w:r>
            <w:r>
              <w:rPr>
                <w:rFonts w:hint="eastAsia" w:ascii="宋体" w:hAnsi="宋体" w:eastAsia="宋体" w:cs="宋体"/>
                <w:b/>
                <w:bCs/>
                <w:sz w:val="21"/>
                <w:szCs w:val="21"/>
                <w:lang w:eastAsia="zh-CN"/>
              </w:rPr>
              <w:t>（</w:t>
            </w:r>
            <w:r>
              <w:rPr>
                <w:rFonts w:hint="eastAsia" w:ascii="宋体" w:hAnsi="宋体" w:eastAsia="宋体" w:cs="宋体"/>
                <w:b/>
                <w:bCs/>
                <w:sz w:val="21"/>
                <w:szCs w:val="21"/>
              </w:rPr>
              <w:t>响应文件中提供产品功能截图证明</w:t>
            </w:r>
            <w:r>
              <w:rPr>
                <w:rFonts w:hint="eastAsia" w:ascii="宋体" w:hAnsi="宋体" w:eastAsia="宋体" w:cs="宋体"/>
                <w:b/>
                <w:bCs/>
                <w:sz w:val="21"/>
                <w:szCs w:val="21"/>
                <w:lang w:eastAsia="zh-CN"/>
              </w:rPr>
              <w:t>）</w:t>
            </w:r>
          </w:p>
          <w:p w14:paraId="03D2EFD9">
            <w:pPr>
              <w:numPr>
                <w:ilvl w:val="0"/>
                <w:numId w:val="0"/>
              </w:numPr>
              <w:spacing w:beforeLines="0" w:after="0" w:afterLines="0" w:line="240" w:lineRule="auto"/>
              <w:rPr>
                <w:rFonts w:hint="eastAsia" w:ascii="宋体" w:hAnsi="宋体" w:eastAsia="宋体" w:cs="宋体"/>
                <w:b/>
                <w:bCs/>
                <w:sz w:val="21"/>
                <w:szCs w:val="21"/>
                <w:lang w:eastAsia="zh-CN"/>
              </w:rPr>
            </w:pPr>
            <w:r>
              <w:rPr>
                <w:rFonts w:hint="eastAsia" w:ascii="宋体" w:hAnsi="宋体" w:eastAsia="宋体" w:cs="宋体"/>
                <w:sz w:val="21"/>
                <w:szCs w:val="21"/>
              </w:rPr>
              <w:t>★23、支持网络管控，包括违规外联管控和禁用WIFI连接，支持配置可连接的WIFI白名单。</w:t>
            </w:r>
            <w:r>
              <w:rPr>
                <w:rFonts w:hint="eastAsia" w:ascii="宋体" w:hAnsi="宋体" w:eastAsia="宋体" w:cs="宋体"/>
                <w:b/>
                <w:bCs/>
                <w:sz w:val="21"/>
                <w:szCs w:val="21"/>
                <w:lang w:eastAsia="zh-CN"/>
              </w:rPr>
              <w:t>（</w:t>
            </w:r>
            <w:r>
              <w:rPr>
                <w:rFonts w:hint="eastAsia" w:ascii="宋体" w:hAnsi="宋体" w:eastAsia="宋体" w:cs="宋体"/>
                <w:b/>
                <w:bCs/>
                <w:sz w:val="21"/>
                <w:szCs w:val="21"/>
              </w:rPr>
              <w:t>响应文件中提供产品功能截图证明</w:t>
            </w:r>
            <w:r>
              <w:rPr>
                <w:rFonts w:hint="eastAsia" w:ascii="宋体" w:hAnsi="宋体" w:eastAsia="宋体" w:cs="宋体"/>
                <w:b/>
                <w:bCs/>
                <w:sz w:val="21"/>
                <w:szCs w:val="21"/>
                <w:lang w:eastAsia="zh-CN"/>
              </w:rPr>
              <w:t>）</w:t>
            </w:r>
          </w:p>
          <w:p w14:paraId="4D68F453">
            <w:pPr>
              <w:numPr>
                <w:ilvl w:val="0"/>
                <w:numId w:val="0"/>
              </w:numPr>
              <w:spacing w:beforeLines="0" w:after="0" w:afterLines="0" w:line="240" w:lineRule="auto"/>
              <w:rPr>
                <w:rFonts w:hint="eastAsia" w:ascii="宋体" w:hAnsi="宋体" w:eastAsia="宋体" w:cs="宋体"/>
                <w:sz w:val="21"/>
                <w:szCs w:val="21"/>
              </w:rPr>
            </w:pPr>
            <w:r>
              <w:rPr>
                <w:rFonts w:hint="eastAsia" w:ascii="宋体" w:hAnsi="宋体" w:eastAsia="宋体" w:cs="宋体"/>
                <w:sz w:val="21"/>
                <w:szCs w:val="21"/>
              </w:rPr>
              <w:t>六、信息安全要求</w:t>
            </w:r>
          </w:p>
          <w:p w14:paraId="574BC82F">
            <w:pPr>
              <w:numPr>
                <w:ilvl w:val="0"/>
                <w:numId w:val="0"/>
              </w:numPr>
              <w:spacing w:beforeLines="0" w:after="0" w:afterLines="0" w:line="240" w:lineRule="auto"/>
              <w:rPr>
                <w:rFonts w:hint="eastAsia" w:ascii="宋体" w:hAnsi="宋体" w:eastAsia="宋体" w:cs="宋体"/>
                <w:sz w:val="21"/>
                <w:szCs w:val="21"/>
              </w:rPr>
            </w:pPr>
            <w:r>
              <w:rPr>
                <w:rFonts w:hint="eastAsia" w:ascii="宋体" w:hAnsi="宋体" w:eastAsia="宋体" w:cs="宋体"/>
                <w:sz w:val="21"/>
                <w:szCs w:val="21"/>
              </w:rPr>
              <w:t>1.产品能够有效阻止外部工具对内部业务系统的扫描探测，并针对所发布的浏览器应用进行URL地址伪装，防止服务器真实IP地址泄露，免遭恶意攻击，保障内部系统安全；</w:t>
            </w:r>
          </w:p>
          <w:p w14:paraId="6276F6A8">
            <w:pPr>
              <w:numPr>
                <w:ilvl w:val="0"/>
                <w:numId w:val="0"/>
              </w:numPr>
              <w:spacing w:beforeLines="0" w:after="0" w:afterLines="0" w:line="240" w:lineRule="auto"/>
              <w:rPr>
                <w:rFonts w:hint="eastAsia" w:ascii="宋体" w:hAnsi="宋体" w:eastAsia="宋体" w:cs="宋体"/>
                <w:sz w:val="21"/>
                <w:szCs w:val="21"/>
              </w:rPr>
            </w:pPr>
            <w:r>
              <w:rPr>
                <w:rFonts w:hint="eastAsia" w:ascii="宋体" w:hAnsi="宋体" w:eastAsia="宋体" w:cs="宋体"/>
                <w:sz w:val="21"/>
                <w:szCs w:val="21"/>
              </w:rPr>
              <w:t>2.产品支持DES、3DES、SHA、RSA等商用密码以及SM2、SM3、SM4国密算法保障传输安全；</w:t>
            </w:r>
          </w:p>
          <w:p w14:paraId="3BDC3F65">
            <w:pPr>
              <w:numPr>
                <w:ilvl w:val="0"/>
                <w:numId w:val="0"/>
              </w:numPr>
              <w:spacing w:beforeLines="0" w:after="0" w:afterLines="0" w:line="240" w:lineRule="auto"/>
              <w:rPr>
                <w:rFonts w:hint="eastAsia" w:ascii="宋体" w:hAnsi="宋体" w:eastAsia="宋体" w:cs="宋体"/>
                <w:sz w:val="21"/>
                <w:szCs w:val="21"/>
              </w:rPr>
            </w:pPr>
            <w:r>
              <w:rPr>
                <w:rFonts w:hint="eastAsia" w:ascii="宋体" w:hAnsi="宋体" w:eastAsia="宋体" w:cs="宋体"/>
                <w:sz w:val="21"/>
                <w:szCs w:val="21"/>
              </w:rPr>
              <w:t>3.产品客户端支持不依赖虚拟网卡方式建立隧道，从而减少系统的兼容性问题；</w:t>
            </w:r>
          </w:p>
          <w:p w14:paraId="1478DD76">
            <w:pPr>
              <w:numPr>
                <w:ilvl w:val="0"/>
                <w:numId w:val="0"/>
              </w:numPr>
              <w:spacing w:beforeLines="0" w:after="0" w:afterLines="0" w:line="240" w:lineRule="auto"/>
              <w:rPr>
                <w:rFonts w:hint="eastAsia" w:ascii="宋体" w:hAnsi="宋体" w:eastAsia="宋体" w:cs="宋体"/>
                <w:sz w:val="21"/>
                <w:szCs w:val="21"/>
              </w:rPr>
            </w:pPr>
            <w:r>
              <w:rPr>
                <w:rFonts w:hint="eastAsia" w:ascii="宋体" w:hAnsi="宋体" w:eastAsia="宋体" w:cs="宋体"/>
                <w:sz w:val="21"/>
                <w:szCs w:val="21"/>
              </w:rPr>
              <w:t>4.支持访问白名单机制，把不在访问策略范围内的资源直接通过原有路径进行访问；</w:t>
            </w:r>
          </w:p>
          <w:p w14:paraId="2B560A4C">
            <w:pPr>
              <w:numPr>
                <w:ilvl w:val="0"/>
                <w:numId w:val="0"/>
              </w:numPr>
              <w:spacing w:beforeLines="0" w:after="0" w:afterLines="0" w:line="240" w:lineRule="auto"/>
              <w:rPr>
                <w:rFonts w:hint="eastAsia" w:ascii="宋体" w:hAnsi="宋体" w:eastAsia="宋体" w:cs="宋体"/>
                <w:sz w:val="21"/>
                <w:szCs w:val="21"/>
              </w:rPr>
            </w:pPr>
            <w:r>
              <w:rPr>
                <w:rFonts w:hint="eastAsia" w:ascii="宋体" w:hAnsi="宋体" w:eastAsia="宋体" w:cs="宋体"/>
                <w:sz w:val="21"/>
                <w:szCs w:val="21"/>
              </w:rPr>
              <w:t>5.支持地址轮询，通过多个IP轮询访问电子资源，有效规避电子资源方将系统IP地址识别为恶意地址。</w:t>
            </w:r>
          </w:p>
          <w:p w14:paraId="457DA3A7">
            <w:pPr>
              <w:numPr>
                <w:ilvl w:val="0"/>
                <w:numId w:val="0"/>
              </w:numPr>
              <w:spacing w:beforeLines="0" w:after="0" w:afterLines="0" w:line="240" w:lineRule="auto"/>
              <w:rPr>
                <w:rFonts w:hint="eastAsia" w:ascii="宋体" w:hAnsi="宋体" w:eastAsia="宋体" w:cs="宋体"/>
                <w:sz w:val="21"/>
                <w:szCs w:val="21"/>
              </w:rPr>
            </w:pPr>
            <w:r>
              <w:rPr>
                <w:rFonts w:hint="eastAsia" w:ascii="宋体" w:hAnsi="宋体" w:eastAsia="宋体" w:cs="宋体"/>
                <w:sz w:val="21"/>
                <w:szCs w:val="21"/>
              </w:rPr>
              <w:t>七、动态感知要求</w:t>
            </w:r>
          </w:p>
          <w:p w14:paraId="6F8EF981">
            <w:pPr>
              <w:numPr>
                <w:ilvl w:val="0"/>
                <w:numId w:val="0"/>
              </w:numPr>
              <w:spacing w:beforeLines="0" w:after="0" w:afterLines="0" w:line="240" w:lineRule="auto"/>
              <w:rPr>
                <w:rFonts w:hint="eastAsia" w:ascii="宋体" w:hAnsi="宋体" w:eastAsia="宋体" w:cs="宋体"/>
                <w:sz w:val="21"/>
                <w:szCs w:val="21"/>
              </w:rPr>
            </w:pPr>
            <w:r>
              <w:rPr>
                <w:rFonts w:hint="eastAsia" w:ascii="宋体" w:hAnsi="宋体" w:eastAsia="宋体" w:cs="宋体"/>
                <w:sz w:val="21"/>
                <w:szCs w:val="21"/>
              </w:rPr>
              <w:t>★1.产品提供态势感知大屏，智能化统计安全数据。支持把这些信息统一通过数据接口实时传输给其他态势感知平台或者数据安全监控平台或者大屏幕系统，以便做更全面的用户行为分析和数据安全分析。</w:t>
            </w:r>
            <w:r>
              <w:rPr>
                <w:rFonts w:hint="eastAsia" w:ascii="宋体" w:hAnsi="宋体" w:eastAsia="宋体" w:cs="宋体"/>
                <w:b/>
                <w:bCs/>
                <w:sz w:val="21"/>
                <w:szCs w:val="21"/>
              </w:rPr>
              <w:t>（响应文件中提供产品功能截图证明）</w:t>
            </w:r>
          </w:p>
          <w:p w14:paraId="462B1459">
            <w:pPr>
              <w:numPr>
                <w:ilvl w:val="0"/>
                <w:numId w:val="0"/>
              </w:numPr>
              <w:spacing w:beforeLines="0" w:after="0" w:afterLines="0" w:line="240" w:lineRule="auto"/>
              <w:rPr>
                <w:rFonts w:hint="eastAsia" w:ascii="宋体" w:hAnsi="宋体" w:eastAsia="宋体" w:cs="宋体"/>
                <w:sz w:val="21"/>
                <w:szCs w:val="21"/>
              </w:rPr>
            </w:pPr>
            <w:r>
              <w:rPr>
                <w:rFonts w:hint="eastAsia" w:ascii="宋体" w:hAnsi="宋体" w:eastAsia="宋体" w:cs="宋体"/>
                <w:sz w:val="21"/>
                <w:szCs w:val="21"/>
              </w:rPr>
              <w:t>八、兼容性/用户端侧要求</w:t>
            </w:r>
          </w:p>
          <w:p w14:paraId="46D9DA68">
            <w:pPr>
              <w:numPr>
                <w:ilvl w:val="0"/>
                <w:numId w:val="0"/>
              </w:numPr>
              <w:spacing w:beforeLines="0" w:after="0" w:afterLines="0" w:line="240" w:lineRule="auto"/>
              <w:rPr>
                <w:rFonts w:hint="eastAsia" w:ascii="宋体" w:hAnsi="宋体" w:eastAsia="宋体" w:cs="宋体"/>
                <w:sz w:val="21"/>
                <w:szCs w:val="21"/>
              </w:rPr>
            </w:pPr>
            <w:r>
              <w:rPr>
                <w:rFonts w:hint="eastAsia" w:ascii="宋体" w:hAnsi="宋体" w:eastAsia="宋体" w:cs="宋体"/>
                <w:sz w:val="21"/>
                <w:szCs w:val="21"/>
              </w:rPr>
              <w:t>1.产品支持主流浏览器访问：chrome、firefox、360、qq、ie11、edg等；</w:t>
            </w:r>
          </w:p>
          <w:p w14:paraId="0D207A83">
            <w:pPr>
              <w:numPr>
                <w:ilvl w:val="0"/>
                <w:numId w:val="0"/>
              </w:numPr>
              <w:spacing w:beforeLines="0" w:after="0" w:afterLines="0" w:line="240" w:lineRule="auto"/>
              <w:rPr>
                <w:rFonts w:hint="eastAsia" w:ascii="宋体" w:hAnsi="宋体" w:eastAsia="宋体" w:cs="宋体"/>
                <w:sz w:val="21"/>
                <w:szCs w:val="21"/>
              </w:rPr>
            </w:pPr>
            <w:r>
              <w:rPr>
                <w:rFonts w:hint="eastAsia" w:ascii="宋体" w:hAnsi="宋体" w:eastAsia="宋体" w:cs="宋体"/>
                <w:sz w:val="21"/>
                <w:szCs w:val="21"/>
              </w:rPr>
              <w:t>2.产品支持手机、笔记本电脑、台式电脑等终端使用；</w:t>
            </w:r>
          </w:p>
          <w:p w14:paraId="45CA8226">
            <w:pPr>
              <w:numPr>
                <w:ilvl w:val="0"/>
                <w:numId w:val="0"/>
              </w:numPr>
              <w:spacing w:beforeLines="0" w:after="0" w:afterLines="0" w:line="240" w:lineRule="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3.</w:t>
            </w:r>
            <w:r>
              <w:rPr>
                <w:rFonts w:hint="eastAsia" w:ascii="宋体" w:hAnsi="宋体" w:eastAsia="宋体" w:cs="宋体"/>
                <w:sz w:val="21"/>
                <w:szCs w:val="21"/>
              </w:rPr>
              <w:t>产品支持当前市面上主流的终端操作系统，如：Windows 7/8/10，Mac，ios，Android</w:t>
            </w:r>
            <w:r>
              <w:rPr>
                <w:rFonts w:hint="eastAsia" w:ascii="宋体" w:hAnsi="宋体" w:eastAsia="宋体" w:cs="宋体"/>
                <w:sz w:val="21"/>
                <w:szCs w:val="21"/>
                <w:lang w:eastAsia="zh-CN"/>
              </w:rPr>
              <w:t>。</w:t>
            </w:r>
          </w:p>
          <w:p w14:paraId="1E8CFBDD">
            <w:pPr>
              <w:numPr>
                <w:ilvl w:val="0"/>
                <w:numId w:val="0"/>
              </w:numPr>
              <w:spacing w:beforeLines="0" w:after="0" w:afterLines="0" w:line="240" w:lineRule="auto"/>
              <w:rPr>
                <w:rFonts w:hint="eastAsia" w:ascii="宋体" w:hAnsi="宋体" w:eastAsia="宋体" w:cs="宋体"/>
                <w:sz w:val="21"/>
                <w:szCs w:val="21"/>
              </w:rPr>
            </w:pPr>
            <w:r>
              <w:rPr>
                <w:rFonts w:hint="eastAsia" w:ascii="宋体" w:hAnsi="宋体" w:eastAsia="宋体" w:cs="宋体"/>
                <w:sz w:val="21"/>
                <w:szCs w:val="21"/>
              </w:rPr>
              <w:t>九、系统管理要求：</w:t>
            </w:r>
          </w:p>
          <w:p w14:paraId="7E5367E7">
            <w:pPr>
              <w:numPr>
                <w:ilvl w:val="0"/>
                <w:numId w:val="0"/>
              </w:numPr>
              <w:spacing w:beforeLines="0" w:after="0" w:afterLines="0" w:line="240" w:lineRule="auto"/>
              <w:rPr>
                <w:rFonts w:hint="eastAsia" w:ascii="宋体" w:hAnsi="宋体" w:eastAsia="宋体" w:cs="宋体"/>
                <w:sz w:val="21"/>
                <w:szCs w:val="21"/>
              </w:rPr>
            </w:pPr>
            <w:r>
              <w:rPr>
                <w:rFonts w:hint="eastAsia" w:ascii="宋体" w:hAnsi="宋体" w:eastAsia="宋体" w:cs="宋体"/>
                <w:sz w:val="21"/>
                <w:szCs w:val="21"/>
              </w:rPr>
              <w:t>1.产品支持多级管理员管理，超级管理员可以设定多个不同权限的管理员，并且支持管理员只读和读写全选的切换；</w:t>
            </w:r>
          </w:p>
          <w:p w14:paraId="52205C0D">
            <w:pPr>
              <w:numPr>
                <w:ilvl w:val="0"/>
                <w:numId w:val="0"/>
              </w:numPr>
              <w:spacing w:beforeLines="0" w:after="0" w:afterLines="0" w:line="240" w:lineRule="auto"/>
              <w:rPr>
                <w:rFonts w:hint="eastAsia" w:ascii="宋体" w:hAnsi="宋体" w:eastAsia="宋体" w:cs="宋体"/>
                <w:sz w:val="21"/>
                <w:szCs w:val="21"/>
              </w:rPr>
            </w:pPr>
            <w:r>
              <w:rPr>
                <w:rFonts w:hint="eastAsia" w:ascii="宋体" w:hAnsi="宋体" w:eastAsia="宋体" w:cs="宋体"/>
                <w:sz w:val="21"/>
                <w:szCs w:val="21"/>
              </w:rPr>
              <w:t>2.支持管理员查看针对某个账户的一次成功登陆鉴权访问，查看策略执行过程；</w:t>
            </w:r>
          </w:p>
          <w:p w14:paraId="4443E090">
            <w:pPr>
              <w:numPr>
                <w:ilvl w:val="0"/>
                <w:numId w:val="0"/>
              </w:numPr>
              <w:spacing w:beforeLines="0" w:after="0" w:afterLines="0" w:line="240" w:lineRule="auto"/>
              <w:rPr>
                <w:rFonts w:hint="eastAsia" w:ascii="宋体" w:hAnsi="宋体" w:eastAsia="宋体" w:cs="宋体"/>
                <w:sz w:val="21"/>
                <w:szCs w:val="21"/>
              </w:rPr>
            </w:pPr>
            <w:r>
              <w:rPr>
                <w:rFonts w:hint="eastAsia" w:ascii="宋体" w:hAnsi="宋体" w:eastAsia="宋体" w:cs="宋体"/>
                <w:sz w:val="21"/>
                <w:szCs w:val="21"/>
              </w:rPr>
              <w:t>3.支持详细的账户控制策略，包括但不限于：登录时间策略、登录密码复杂度、多因子配置；</w:t>
            </w:r>
          </w:p>
          <w:p w14:paraId="0A5361E2">
            <w:pPr>
              <w:numPr>
                <w:ilvl w:val="0"/>
                <w:numId w:val="0"/>
              </w:numPr>
              <w:spacing w:beforeLines="0" w:after="0" w:afterLines="0" w:line="240" w:lineRule="auto"/>
              <w:rPr>
                <w:rFonts w:hint="eastAsia" w:ascii="宋体" w:hAnsi="宋体" w:eastAsia="宋体" w:cs="宋体"/>
                <w:sz w:val="21"/>
                <w:szCs w:val="21"/>
              </w:rPr>
            </w:pPr>
            <w:r>
              <w:rPr>
                <w:rFonts w:hint="eastAsia" w:ascii="宋体" w:hAnsi="宋体" w:eastAsia="宋体" w:cs="宋体"/>
                <w:sz w:val="21"/>
                <w:szCs w:val="21"/>
              </w:rPr>
              <w:t>4.支持便捷的用户管理，可以和现网系统对接，做用户导入及对应同步更新。</w:t>
            </w:r>
          </w:p>
          <w:p w14:paraId="058D6EF2">
            <w:pPr>
              <w:numPr>
                <w:ilvl w:val="0"/>
                <w:numId w:val="0"/>
              </w:numPr>
              <w:spacing w:beforeLines="0" w:after="0" w:afterLines="0" w:line="240" w:lineRule="auto"/>
              <w:rPr>
                <w:rFonts w:hint="eastAsia" w:ascii="宋体" w:hAnsi="宋体" w:eastAsia="宋体" w:cs="宋体"/>
                <w:sz w:val="21"/>
                <w:szCs w:val="21"/>
              </w:rPr>
            </w:pPr>
            <w:r>
              <w:rPr>
                <w:rFonts w:hint="eastAsia" w:ascii="宋体" w:hAnsi="宋体" w:eastAsia="宋体" w:cs="宋体"/>
                <w:sz w:val="21"/>
                <w:szCs w:val="21"/>
              </w:rPr>
              <w:t>十、日志审计要求</w:t>
            </w:r>
          </w:p>
          <w:p w14:paraId="232CAF82">
            <w:pPr>
              <w:numPr>
                <w:ilvl w:val="0"/>
                <w:numId w:val="0"/>
              </w:numPr>
              <w:spacing w:beforeLines="0" w:after="0" w:afterLines="0" w:line="240" w:lineRule="auto"/>
              <w:rPr>
                <w:rFonts w:hint="eastAsia" w:ascii="宋体" w:hAnsi="宋体" w:eastAsia="宋体" w:cs="宋体"/>
                <w:sz w:val="21"/>
                <w:szCs w:val="21"/>
              </w:rPr>
            </w:pPr>
            <w:r>
              <w:rPr>
                <w:rFonts w:hint="eastAsia" w:ascii="宋体" w:hAnsi="宋体" w:eastAsia="宋体" w:cs="宋体"/>
                <w:sz w:val="21"/>
                <w:szCs w:val="21"/>
              </w:rPr>
              <w:t>1.产品日志支持独立审计功能；</w:t>
            </w:r>
          </w:p>
          <w:p w14:paraId="6ADF760D">
            <w:pPr>
              <w:numPr>
                <w:ilvl w:val="0"/>
                <w:numId w:val="0"/>
              </w:numPr>
              <w:spacing w:beforeLines="0" w:after="0" w:afterLines="0" w:line="240" w:lineRule="auto"/>
              <w:rPr>
                <w:rFonts w:hint="eastAsia" w:ascii="宋体" w:hAnsi="宋体" w:eastAsia="宋体" w:cs="宋体"/>
                <w:sz w:val="21"/>
                <w:szCs w:val="21"/>
              </w:rPr>
            </w:pPr>
            <w:r>
              <w:rPr>
                <w:rFonts w:hint="eastAsia" w:ascii="宋体" w:hAnsi="宋体" w:eastAsia="宋体" w:cs="宋体"/>
                <w:sz w:val="21"/>
                <w:szCs w:val="21"/>
              </w:rPr>
              <w:t xml:space="preserve">2.支持用户概览、应用概览、登录审计、异常审计分析日志的图表化PDF报表导出，包括且不限于：饼状图、柱状图、折线图、列表图等； </w:t>
            </w:r>
          </w:p>
          <w:p w14:paraId="446D93A0">
            <w:pPr>
              <w:numPr>
                <w:ilvl w:val="0"/>
                <w:numId w:val="0"/>
              </w:numPr>
              <w:spacing w:beforeLines="0" w:after="0" w:afterLines="0" w:line="240" w:lineRule="auto"/>
              <w:rPr>
                <w:rFonts w:hint="eastAsia" w:ascii="宋体" w:hAnsi="宋体" w:eastAsia="宋体" w:cs="宋体"/>
                <w:sz w:val="21"/>
                <w:szCs w:val="21"/>
              </w:rPr>
            </w:pPr>
            <w:r>
              <w:rPr>
                <w:rFonts w:hint="eastAsia" w:ascii="宋体" w:hAnsi="宋体" w:eastAsia="宋体" w:cs="宋体"/>
                <w:sz w:val="21"/>
                <w:szCs w:val="21"/>
              </w:rPr>
              <w:t>3.产品日志提供详细记录用户访问信息（用户、主机IP、访问内容、访问时间）、管理员日志（管理员、主机IP、时间、管理行为、对象）、系统日志、告警日志；可根据用户名、主机IP等信息进行用户行为查询；可提供用户组/用户流量排行及查询、资源流量排行及查询、资源活跃程度、用户活跃程度等记录。</w:t>
            </w:r>
          </w:p>
          <w:p w14:paraId="297DD604">
            <w:pPr>
              <w:numPr>
                <w:ilvl w:val="0"/>
                <w:numId w:val="0"/>
              </w:numPr>
              <w:spacing w:beforeLines="0" w:after="0" w:afterLines="0" w:line="240" w:lineRule="auto"/>
              <w:rPr>
                <w:rFonts w:hint="eastAsia" w:ascii="宋体" w:hAnsi="宋体" w:eastAsia="宋体" w:cs="宋体"/>
                <w:sz w:val="21"/>
                <w:szCs w:val="21"/>
              </w:rPr>
            </w:pPr>
            <w:r>
              <w:rPr>
                <w:rFonts w:hint="eastAsia" w:ascii="宋体" w:hAnsi="宋体" w:eastAsia="宋体" w:cs="宋体"/>
                <w:sz w:val="21"/>
                <w:szCs w:val="21"/>
              </w:rPr>
              <w:t>★4.支持日志审计功能：包括审计数据生成、审计日志存储、审计日志管理</w:t>
            </w:r>
            <w:r>
              <w:rPr>
                <w:rFonts w:hint="eastAsia" w:ascii="宋体" w:hAnsi="宋体" w:eastAsia="宋体" w:cs="宋体"/>
                <w:sz w:val="21"/>
                <w:szCs w:val="21"/>
                <w:lang w:eastAsia="zh-CN"/>
              </w:rPr>
              <w:t>。</w:t>
            </w:r>
            <w:r>
              <w:rPr>
                <w:rFonts w:hint="eastAsia" w:ascii="宋体" w:hAnsi="宋体" w:eastAsia="宋体" w:cs="宋体"/>
                <w:b/>
                <w:bCs/>
                <w:sz w:val="21"/>
                <w:szCs w:val="21"/>
              </w:rPr>
              <w:t>（合同签订后供货前提供带有CNAS或CMA标识的第三方检测机构出具的检测报告复印件。）</w:t>
            </w:r>
          </w:p>
          <w:p w14:paraId="3D904B9F">
            <w:pPr>
              <w:numPr>
                <w:ilvl w:val="0"/>
                <w:numId w:val="0"/>
              </w:numPr>
              <w:spacing w:beforeLines="0" w:after="0" w:afterLines="0" w:line="240" w:lineRule="auto"/>
              <w:rPr>
                <w:rFonts w:hint="eastAsia" w:ascii="宋体" w:hAnsi="宋体" w:eastAsia="宋体" w:cs="宋体"/>
                <w:sz w:val="21"/>
                <w:szCs w:val="21"/>
              </w:rPr>
            </w:pPr>
            <w:r>
              <w:rPr>
                <w:rFonts w:hint="eastAsia" w:ascii="宋体" w:hAnsi="宋体" w:eastAsia="宋体" w:cs="宋体"/>
                <w:sz w:val="21"/>
                <w:szCs w:val="21"/>
              </w:rPr>
              <w:t>十一、服务要求</w:t>
            </w:r>
          </w:p>
          <w:p w14:paraId="6DB8E4CB">
            <w:pPr>
              <w:numPr>
                <w:ilvl w:val="0"/>
                <w:numId w:val="0"/>
              </w:numPr>
              <w:spacing w:beforeLines="0" w:after="0" w:afterLines="0" w:line="240" w:lineRule="auto"/>
              <w:rPr>
                <w:rFonts w:hint="eastAsia" w:ascii="宋体" w:hAnsi="宋体" w:eastAsia="宋体" w:cs="宋体"/>
                <w:sz w:val="21"/>
                <w:szCs w:val="21"/>
              </w:rPr>
            </w:pPr>
            <w:r>
              <w:rPr>
                <w:rFonts w:hint="eastAsia" w:ascii="宋体" w:hAnsi="宋体" w:eastAsia="宋体" w:cs="宋体"/>
                <w:sz w:val="21"/>
                <w:szCs w:val="21"/>
              </w:rPr>
              <w:t>1.质保期内提供免费统一认证、门户、办事大厅等对接服务。</w:t>
            </w:r>
          </w:p>
          <w:p w14:paraId="11D59EFB">
            <w:pPr>
              <w:numPr>
                <w:ilvl w:val="0"/>
                <w:numId w:val="0"/>
              </w:numPr>
              <w:spacing w:beforeLines="0" w:after="0" w:afterLines="0" w:line="240" w:lineRule="auto"/>
              <w:rPr>
                <w:rFonts w:hint="eastAsia" w:ascii="宋体" w:hAnsi="宋体" w:eastAsia="宋体" w:cs="宋体"/>
                <w:sz w:val="21"/>
                <w:szCs w:val="21"/>
              </w:rPr>
            </w:pPr>
            <w:r>
              <w:rPr>
                <w:rFonts w:hint="eastAsia" w:ascii="宋体" w:hAnsi="宋体" w:eastAsia="宋体" w:cs="宋体"/>
                <w:sz w:val="21"/>
                <w:szCs w:val="21"/>
              </w:rPr>
              <w:t>2.针对本次系统中存在的bug、缺陷、信息安全漏洞，不论在保期内、外，供应商均应免费持续提供修正与消缺服务。</w:t>
            </w:r>
          </w:p>
          <w:p w14:paraId="47C74365">
            <w:pPr>
              <w:numPr>
                <w:ilvl w:val="0"/>
                <w:numId w:val="0"/>
              </w:numPr>
              <w:spacing w:beforeLines="0" w:after="0" w:afterLines="0" w:line="240" w:lineRule="auto"/>
              <w:rPr>
                <w:rFonts w:hint="eastAsia" w:ascii="宋体" w:hAnsi="宋体" w:eastAsia="宋体" w:cs="宋体"/>
                <w:sz w:val="21"/>
                <w:szCs w:val="21"/>
              </w:rPr>
            </w:pPr>
            <w:r>
              <w:rPr>
                <w:rFonts w:hint="eastAsia" w:ascii="宋体" w:hAnsi="宋体" w:eastAsia="宋体" w:cs="宋体"/>
                <w:sz w:val="21"/>
                <w:szCs w:val="21"/>
              </w:rPr>
              <w:t>十二、应急处理措施</w:t>
            </w:r>
          </w:p>
          <w:p w14:paraId="3E6C6E76">
            <w:pPr>
              <w:numPr>
                <w:ilvl w:val="0"/>
                <w:numId w:val="0"/>
              </w:numPr>
              <w:spacing w:beforeLines="0" w:after="0" w:afterLines="0" w:line="240" w:lineRule="auto"/>
              <w:rPr>
                <w:rFonts w:hint="eastAsia" w:ascii="宋体" w:hAnsi="宋体" w:eastAsia="宋体" w:cs="宋体"/>
                <w:b/>
                <w:bCs/>
                <w:sz w:val="21"/>
                <w:szCs w:val="21"/>
              </w:rPr>
            </w:pPr>
            <w:r>
              <w:rPr>
                <w:rFonts w:hint="eastAsia" w:ascii="宋体" w:hAnsi="宋体" w:eastAsia="宋体" w:cs="宋体"/>
                <w:sz w:val="21"/>
                <w:szCs w:val="21"/>
              </w:rPr>
              <w:t>★1.产品支持根据学校实际需求在不改动架构的情况下，结合疫情和师生实际使用情况做调整，如果学生同时在线人数超过800以上，承诺将并发量临时调整至3000，有效期一个月。</w:t>
            </w:r>
            <w:r>
              <w:rPr>
                <w:rFonts w:hint="eastAsia" w:ascii="宋体" w:hAnsi="宋体" w:eastAsia="宋体" w:cs="宋体"/>
                <w:b/>
                <w:bCs/>
                <w:sz w:val="21"/>
                <w:szCs w:val="21"/>
              </w:rPr>
              <w:t>（响应文件中供应商提供承诺函。）</w:t>
            </w:r>
          </w:p>
          <w:p w14:paraId="4C23DEB8">
            <w:pPr>
              <w:numPr>
                <w:ilvl w:val="0"/>
                <w:numId w:val="0"/>
              </w:numPr>
              <w:spacing w:beforeLines="0" w:after="0" w:afterLines="0" w:line="240" w:lineRule="auto"/>
              <w:rPr>
                <w:rFonts w:hint="eastAsia" w:ascii="宋体" w:hAnsi="宋体" w:eastAsia="宋体" w:cs="宋体"/>
                <w:b/>
                <w:bCs/>
                <w:sz w:val="21"/>
                <w:szCs w:val="21"/>
              </w:rPr>
            </w:pPr>
            <w:r>
              <w:rPr>
                <w:rFonts w:hint="eastAsia" w:ascii="宋体" w:hAnsi="宋体" w:eastAsia="宋体" w:cs="宋体"/>
                <w:sz w:val="21"/>
                <w:szCs w:val="21"/>
              </w:rPr>
              <w:t>★2.供应商须承诺在质保期内，如果硬件设备出现意外故障，承诺在48小时内免费给学校更换一台新设备。</w:t>
            </w:r>
            <w:r>
              <w:rPr>
                <w:rFonts w:hint="eastAsia" w:ascii="宋体" w:hAnsi="宋体" w:eastAsia="宋体" w:cs="宋体"/>
                <w:b/>
                <w:bCs/>
                <w:sz w:val="21"/>
                <w:szCs w:val="21"/>
              </w:rPr>
              <w:t>（响应文件中供应商提供承诺函。）</w:t>
            </w:r>
          </w:p>
          <w:p w14:paraId="4D10A6A2">
            <w:pPr>
              <w:numPr>
                <w:ilvl w:val="0"/>
                <w:numId w:val="0"/>
              </w:numPr>
              <w:spacing w:beforeLines="0" w:after="0" w:afterLines="0" w:line="240" w:lineRule="auto"/>
              <w:ind w:left="0" w:leftChars="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rPr>
              <w:t>★十三、免费原厂质保3年</w:t>
            </w:r>
            <w:r>
              <w:rPr>
                <w:rFonts w:hint="eastAsia" w:ascii="宋体" w:hAnsi="宋体" w:eastAsia="宋体" w:cs="宋体"/>
                <w:sz w:val="21"/>
                <w:szCs w:val="21"/>
                <w:lang w:eastAsia="zh-CN"/>
              </w:rPr>
              <w:t>。</w:t>
            </w:r>
            <w:r>
              <w:rPr>
                <w:rFonts w:hint="eastAsia" w:ascii="宋体" w:hAnsi="宋体" w:eastAsia="宋体" w:cs="宋体"/>
                <w:b/>
                <w:bCs/>
                <w:sz w:val="21"/>
                <w:szCs w:val="21"/>
              </w:rPr>
              <w:t>（响应文件中供应商提供承诺函。）</w:t>
            </w:r>
          </w:p>
        </w:tc>
        <w:tc>
          <w:tcPr>
            <w:tcW w:w="662" w:type="dxa"/>
            <w:tcBorders>
              <w:top w:val="single" w:color="auto" w:sz="4" w:space="0"/>
              <w:left w:val="single" w:color="auto" w:sz="4" w:space="0"/>
              <w:bottom w:val="single" w:color="auto" w:sz="4" w:space="0"/>
              <w:right w:val="single" w:color="auto" w:sz="4" w:space="0"/>
            </w:tcBorders>
            <w:vAlign w:val="center"/>
          </w:tcPr>
          <w:p w14:paraId="1B07BC92">
            <w:pPr>
              <w:spacing w:beforeLines="0" w:after="0" w:afterLines="0" w:line="240" w:lineRule="auto"/>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sz w:val="21"/>
                <w:szCs w:val="21"/>
              </w:rPr>
              <w:t>台</w:t>
            </w:r>
          </w:p>
        </w:tc>
        <w:tc>
          <w:tcPr>
            <w:tcW w:w="688" w:type="dxa"/>
            <w:tcBorders>
              <w:top w:val="single" w:color="auto" w:sz="4" w:space="0"/>
              <w:left w:val="single" w:color="auto" w:sz="4" w:space="0"/>
              <w:bottom w:val="single" w:color="auto" w:sz="4" w:space="0"/>
              <w:right w:val="single" w:color="auto" w:sz="4" w:space="0"/>
            </w:tcBorders>
            <w:vAlign w:val="center"/>
          </w:tcPr>
          <w:p w14:paraId="54312023">
            <w:pPr>
              <w:spacing w:beforeLines="0" w:after="0" w:afterLines="0" w:line="240" w:lineRule="auto"/>
              <w:jc w:val="center"/>
              <w:rPr>
                <w:rFonts w:hint="eastAsia" w:ascii="宋体" w:hAnsi="宋体" w:eastAsia="宋体" w:cs="宋体"/>
                <w:sz w:val="21"/>
                <w:szCs w:val="21"/>
              </w:rPr>
            </w:pPr>
            <w:r>
              <w:rPr>
                <w:rFonts w:hint="eastAsia" w:ascii="宋体" w:hAnsi="宋体" w:eastAsia="宋体" w:cs="宋体"/>
                <w:sz w:val="21"/>
                <w:szCs w:val="21"/>
              </w:rPr>
              <w:t>1</w:t>
            </w:r>
          </w:p>
          <w:p w14:paraId="36CE8C78">
            <w:pPr>
              <w:spacing w:beforeLines="0" w:after="0" w:afterLines="0" w:line="240" w:lineRule="auto"/>
              <w:jc w:val="center"/>
              <w:rPr>
                <w:rFonts w:hint="eastAsia" w:ascii="宋体" w:hAnsi="宋体" w:eastAsia="宋体" w:cs="宋体"/>
                <w:color w:val="auto"/>
                <w:kern w:val="0"/>
                <w:sz w:val="21"/>
                <w:szCs w:val="21"/>
                <w:highlight w:val="none"/>
                <w:lang w:val="en-US" w:eastAsia="zh-CN"/>
              </w:rPr>
            </w:pPr>
          </w:p>
        </w:tc>
        <w:tc>
          <w:tcPr>
            <w:tcW w:w="677" w:type="dxa"/>
            <w:tcBorders>
              <w:top w:val="single" w:color="auto" w:sz="4" w:space="0"/>
              <w:left w:val="single" w:color="auto" w:sz="4" w:space="0"/>
              <w:bottom w:val="single" w:color="auto" w:sz="4" w:space="0"/>
              <w:right w:val="single" w:color="auto" w:sz="4" w:space="0"/>
            </w:tcBorders>
            <w:vAlign w:val="center"/>
          </w:tcPr>
          <w:p w14:paraId="6C5E7EFA">
            <w:pPr>
              <w:widowControl/>
              <w:spacing w:line="360" w:lineRule="auto"/>
              <w:jc w:val="center"/>
              <w:rPr>
                <w:rFonts w:hint="eastAsia" w:ascii="宋体" w:hAnsi="宋体" w:eastAsia="宋体" w:cs="宋体"/>
                <w:color w:val="auto"/>
                <w:kern w:val="0"/>
                <w:sz w:val="21"/>
                <w:szCs w:val="21"/>
                <w:highlight w:val="none"/>
                <w:lang w:eastAsia="zh-CN"/>
              </w:rPr>
            </w:pPr>
          </w:p>
        </w:tc>
      </w:tr>
      <w:tr w14:paraId="50A9D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765" w:type="dxa"/>
            <w:tcBorders>
              <w:top w:val="single" w:color="auto" w:sz="4" w:space="0"/>
              <w:left w:val="single" w:color="auto" w:sz="4" w:space="0"/>
              <w:bottom w:val="single" w:color="auto" w:sz="4" w:space="0"/>
              <w:right w:val="single" w:color="auto" w:sz="4" w:space="0"/>
            </w:tcBorders>
            <w:vAlign w:val="center"/>
          </w:tcPr>
          <w:p w14:paraId="41E9E54D">
            <w:pPr>
              <w:spacing w:beforeLines="0" w:after="0" w:afterLines="0" w:line="240" w:lineRule="auto"/>
              <w:jc w:val="center"/>
              <w:rPr>
                <w:rFonts w:hint="eastAsia" w:ascii="宋体" w:hAnsi="宋体" w:eastAsia="宋体" w:cs="宋体"/>
                <w:color w:val="000000"/>
                <w:kern w:val="0"/>
                <w:sz w:val="21"/>
                <w:szCs w:val="21"/>
              </w:rPr>
            </w:pPr>
            <w:r>
              <w:rPr>
                <w:rFonts w:hint="eastAsia" w:ascii="宋体" w:hAnsi="宋体" w:eastAsia="宋体" w:cs="宋体"/>
                <w:sz w:val="21"/>
                <w:szCs w:val="21"/>
              </w:rPr>
              <w:t>3</w:t>
            </w:r>
          </w:p>
        </w:tc>
        <w:tc>
          <w:tcPr>
            <w:tcW w:w="1075" w:type="dxa"/>
            <w:tcBorders>
              <w:top w:val="single" w:color="auto" w:sz="4" w:space="0"/>
              <w:left w:val="single" w:color="auto" w:sz="4" w:space="0"/>
              <w:bottom w:val="single" w:color="auto" w:sz="4" w:space="0"/>
              <w:right w:val="single" w:color="auto" w:sz="4" w:space="0"/>
            </w:tcBorders>
            <w:vAlign w:val="center"/>
          </w:tcPr>
          <w:p w14:paraId="0628AF11">
            <w:pPr>
              <w:spacing w:beforeLines="0" w:after="0" w:afterLines="0"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sz w:val="21"/>
                <w:szCs w:val="21"/>
              </w:rPr>
              <w:t>下一代防火墙</w:t>
            </w:r>
          </w:p>
        </w:tc>
        <w:tc>
          <w:tcPr>
            <w:tcW w:w="5798" w:type="dxa"/>
            <w:tcBorders>
              <w:top w:val="single" w:color="auto" w:sz="4" w:space="0"/>
              <w:left w:val="single" w:color="auto" w:sz="4" w:space="0"/>
              <w:bottom w:val="single" w:color="auto" w:sz="4" w:space="0"/>
              <w:right w:val="single" w:color="auto" w:sz="4" w:space="0"/>
            </w:tcBorders>
            <w:vAlign w:val="top"/>
          </w:tcPr>
          <w:p w14:paraId="05C6B68E">
            <w:pPr>
              <w:numPr>
                <w:ilvl w:val="0"/>
                <w:numId w:val="0"/>
              </w:numPr>
              <w:spacing w:beforeLines="0" w:after="0" w:afterLines="0"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对天融信下一代防火墙NGFW4000-UF提供设备1年的软件升级及原厂维保服务</w:t>
            </w:r>
            <w:r>
              <w:rPr>
                <w:rFonts w:hint="eastAsia" w:ascii="宋体" w:hAnsi="宋体" w:eastAsia="宋体" w:cs="宋体"/>
                <w:color w:val="auto"/>
                <w:sz w:val="21"/>
                <w:szCs w:val="21"/>
                <w:highlight w:val="none"/>
                <w:lang w:eastAsia="zh-CN"/>
              </w:rPr>
              <w:t>；</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响应文件中</w:t>
            </w:r>
            <w:r>
              <w:rPr>
                <w:rFonts w:hint="eastAsia" w:ascii="宋体" w:hAnsi="宋体" w:eastAsia="宋体" w:cs="宋体"/>
                <w:b/>
                <w:bCs/>
                <w:color w:val="auto"/>
                <w:sz w:val="21"/>
                <w:szCs w:val="21"/>
                <w:highlight w:val="none"/>
                <w:lang w:eastAsia="zh-CN"/>
              </w:rPr>
              <w:t>提供原厂服务承诺并加盖供应商公章，</w:t>
            </w:r>
            <w:r>
              <w:rPr>
                <w:rFonts w:hint="eastAsia" w:ascii="宋体" w:hAnsi="宋体" w:eastAsia="宋体" w:cs="宋体"/>
                <w:b/>
                <w:bCs/>
                <w:color w:val="auto"/>
                <w:sz w:val="21"/>
                <w:szCs w:val="21"/>
                <w:highlight w:val="none"/>
                <w:lang w:val="en-US" w:eastAsia="zh-CN"/>
              </w:rPr>
              <w:t>承诺函格式自拟</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2、提供1年硬件整机保修服务，在硬件质保期内，对硬件产品整机给予保修；</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3、提供设备1年的应用识别库和专业防病毒升级授权；</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4、提供1年电话咨询及远程调试服务，在服务期内，由天融信原厂工程师提供电话咨询及远程技术协助服务；</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5、提供1年上门现场支持服务，在服务期内，对</w:t>
            </w:r>
            <w:r>
              <w:rPr>
                <w:rFonts w:hint="eastAsia" w:ascii="宋体" w:hAnsi="宋体" w:eastAsia="宋体" w:cs="宋体"/>
                <w:color w:val="auto"/>
                <w:sz w:val="21"/>
                <w:szCs w:val="21"/>
                <w:highlight w:val="none"/>
                <w:lang w:val="en-US" w:eastAsia="zh-CN"/>
              </w:rPr>
              <w:t>采购人</w:t>
            </w:r>
            <w:r>
              <w:rPr>
                <w:rFonts w:hint="eastAsia" w:ascii="宋体" w:hAnsi="宋体" w:eastAsia="宋体" w:cs="宋体"/>
                <w:color w:val="auto"/>
                <w:sz w:val="21"/>
                <w:szCs w:val="21"/>
                <w:highlight w:val="none"/>
              </w:rPr>
              <w:t>使用过程中遇到的问题，如用户咨询及远程技术协助不能解决，将派遣天融信原厂工程师赴现场解决技术问题，为采购人提供现场技术支持</w:t>
            </w:r>
            <w:r>
              <w:rPr>
                <w:rFonts w:hint="eastAsia" w:ascii="宋体" w:hAnsi="宋体" w:eastAsia="宋体" w:cs="宋体"/>
                <w:color w:val="auto"/>
                <w:sz w:val="21"/>
                <w:szCs w:val="21"/>
                <w:highlight w:val="none"/>
                <w:lang w:eastAsia="zh-CN"/>
              </w:rPr>
              <w:t>；</w:t>
            </w:r>
          </w:p>
          <w:p w14:paraId="28079B35">
            <w:pPr>
              <w:numPr>
                <w:ilvl w:val="0"/>
                <w:numId w:val="0"/>
              </w:numPr>
              <w:spacing w:beforeLines="0" w:after="0" w:afterLines="0" w:line="240" w:lineRule="auto"/>
              <w:ind w:left="0" w:leftChars="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rPr>
              <w:t>★6、每季度需要现场巡检一次，并提供巡检报告。</w:t>
            </w:r>
            <w:r>
              <w:rPr>
                <w:rFonts w:hint="eastAsia" w:ascii="宋体" w:hAnsi="宋体" w:eastAsia="宋体" w:cs="宋体"/>
                <w:b/>
                <w:bCs/>
                <w:sz w:val="21"/>
                <w:szCs w:val="21"/>
              </w:rPr>
              <w:t>（响应文件中供应商提供承诺函。）</w:t>
            </w:r>
          </w:p>
        </w:tc>
        <w:tc>
          <w:tcPr>
            <w:tcW w:w="662" w:type="dxa"/>
            <w:tcBorders>
              <w:top w:val="single" w:color="auto" w:sz="4" w:space="0"/>
              <w:left w:val="single" w:color="auto" w:sz="4" w:space="0"/>
              <w:bottom w:val="single" w:color="auto" w:sz="4" w:space="0"/>
              <w:right w:val="single" w:color="auto" w:sz="4" w:space="0"/>
            </w:tcBorders>
            <w:vAlign w:val="center"/>
          </w:tcPr>
          <w:p w14:paraId="19DCF84E">
            <w:pPr>
              <w:spacing w:beforeLines="0" w:after="0" w:afterLines="0" w:line="240" w:lineRule="auto"/>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sz w:val="21"/>
                <w:szCs w:val="21"/>
              </w:rPr>
              <w:t>项</w:t>
            </w:r>
          </w:p>
        </w:tc>
        <w:tc>
          <w:tcPr>
            <w:tcW w:w="688" w:type="dxa"/>
            <w:tcBorders>
              <w:top w:val="single" w:color="auto" w:sz="4" w:space="0"/>
              <w:left w:val="single" w:color="auto" w:sz="4" w:space="0"/>
              <w:bottom w:val="single" w:color="auto" w:sz="4" w:space="0"/>
              <w:right w:val="single" w:color="auto" w:sz="4" w:space="0"/>
            </w:tcBorders>
            <w:vAlign w:val="center"/>
          </w:tcPr>
          <w:p w14:paraId="63E5489C">
            <w:pPr>
              <w:spacing w:beforeLines="0" w:after="0" w:afterLines="0" w:line="240" w:lineRule="auto"/>
              <w:jc w:val="center"/>
              <w:rPr>
                <w:rFonts w:hint="eastAsia" w:ascii="宋体" w:hAnsi="宋体" w:eastAsia="宋体" w:cs="宋体"/>
                <w:sz w:val="21"/>
                <w:szCs w:val="21"/>
              </w:rPr>
            </w:pPr>
            <w:r>
              <w:rPr>
                <w:rFonts w:hint="eastAsia" w:ascii="宋体" w:hAnsi="宋体" w:eastAsia="宋体" w:cs="宋体"/>
                <w:sz w:val="21"/>
                <w:szCs w:val="21"/>
              </w:rPr>
              <w:t>1</w:t>
            </w:r>
          </w:p>
          <w:p w14:paraId="61684C5C">
            <w:pPr>
              <w:spacing w:beforeLines="0" w:after="0" w:afterLines="0" w:line="240" w:lineRule="auto"/>
              <w:jc w:val="center"/>
              <w:rPr>
                <w:rFonts w:hint="eastAsia" w:ascii="宋体" w:hAnsi="宋体" w:eastAsia="宋体" w:cs="宋体"/>
                <w:color w:val="auto"/>
                <w:kern w:val="0"/>
                <w:sz w:val="21"/>
                <w:szCs w:val="21"/>
                <w:highlight w:val="none"/>
                <w:lang w:val="en-US" w:eastAsia="zh-CN"/>
              </w:rPr>
            </w:pPr>
          </w:p>
        </w:tc>
        <w:tc>
          <w:tcPr>
            <w:tcW w:w="677" w:type="dxa"/>
            <w:tcBorders>
              <w:top w:val="single" w:color="auto" w:sz="4" w:space="0"/>
              <w:left w:val="single" w:color="auto" w:sz="4" w:space="0"/>
              <w:bottom w:val="single" w:color="auto" w:sz="4" w:space="0"/>
              <w:right w:val="single" w:color="auto" w:sz="4" w:space="0"/>
            </w:tcBorders>
            <w:vAlign w:val="center"/>
          </w:tcPr>
          <w:p w14:paraId="7AAAEDAE">
            <w:pPr>
              <w:widowControl/>
              <w:spacing w:line="360" w:lineRule="auto"/>
              <w:jc w:val="center"/>
              <w:rPr>
                <w:rFonts w:hint="eastAsia" w:ascii="宋体" w:hAnsi="宋体" w:eastAsia="宋体" w:cs="宋体"/>
                <w:color w:val="auto"/>
                <w:kern w:val="0"/>
                <w:sz w:val="21"/>
                <w:szCs w:val="21"/>
                <w:highlight w:val="none"/>
                <w:lang w:eastAsia="zh-CN"/>
              </w:rPr>
            </w:pPr>
          </w:p>
        </w:tc>
      </w:tr>
      <w:tr w14:paraId="06D5C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765" w:type="dxa"/>
            <w:tcBorders>
              <w:top w:val="single" w:color="auto" w:sz="4" w:space="0"/>
              <w:left w:val="single" w:color="auto" w:sz="4" w:space="0"/>
              <w:bottom w:val="single" w:color="auto" w:sz="4" w:space="0"/>
              <w:right w:val="single" w:color="auto" w:sz="4" w:space="0"/>
            </w:tcBorders>
            <w:vAlign w:val="center"/>
          </w:tcPr>
          <w:p w14:paraId="1232646A">
            <w:pPr>
              <w:spacing w:beforeLines="0" w:after="0" w:afterLines="0" w:line="240" w:lineRule="auto"/>
              <w:jc w:val="center"/>
              <w:rPr>
                <w:rFonts w:hint="eastAsia" w:ascii="宋体" w:hAnsi="宋体" w:eastAsia="宋体" w:cs="宋体"/>
                <w:color w:val="000000"/>
                <w:kern w:val="0"/>
                <w:sz w:val="21"/>
                <w:szCs w:val="21"/>
              </w:rPr>
            </w:pPr>
            <w:r>
              <w:rPr>
                <w:rFonts w:hint="eastAsia" w:ascii="宋体" w:hAnsi="宋体" w:eastAsia="宋体" w:cs="宋体"/>
                <w:sz w:val="21"/>
                <w:szCs w:val="21"/>
              </w:rPr>
              <w:t>4</w:t>
            </w:r>
          </w:p>
        </w:tc>
        <w:tc>
          <w:tcPr>
            <w:tcW w:w="1075" w:type="dxa"/>
            <w:tcBorders>
              <w:top w:val="single" w:color="auto" w:sz="4" w:space="0"/>
              <w:left w:val="single" w:color="auto" w:sz="4" w:space="0"/>
              <w:bottom w:val="single" w:color="auto" w:sz="4" w:space="0"/>
              <w:right w:val="single" w:color="auto" w:sz="4" w:space="0"/>
            </w:tcBorders>
            <w:vAlign w:val="center"/>
          </w:tcPr>
          <w:p w14:paraId="33B9B9E1">
            <w:pPr>
              <w:spacing w:beforeLines="0" w:after="0" w:afterLines="0"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sz w:val="21"/>
                <w:szCs w:val="21"/>
              </w:rPr>
              <w:t>数据库审计</w:t>
            </w:r>
          </w:p>
        </w:tc>
        <w:tc>
          <w:tcPr>
            <w:tcW w:w="5798" w:type="dxa"/>
            <w:tcBorders>
              <w:top w:val="single" w:color="auto" w:sz="4" w:space="0"/>
              <w:left w:val="single" w:color="auto" w:sz="4" w:space="0"/>
              <w:bottom w:val="single" w:color="auto" w:sz="4" w:space="0"/>
              <w:right w:val="single" w:color="auto" w:sz="4" w:space="0"/>
            </w:tcBorders>
            <w:vAlign w:val="top"/>
          </w:tcPr>
          <w:p w14:paraId="5B5378EA">
            <w:pPr>
              <w:numPr>
                <w:ilvl w:val="0"/>
                <w:numId w:val="0"/>
              </w:numPr>
              <w:spacing w:beforeLines="0" w:after="0" w:afterLines="0" w:line="240" w:lineRule="auto"/>
              <w:rPr>
                <w:rFonts w:hint="eastAsia" w:ascii="宋体" w:hAnsi="宋体" w:eastAsia="宋体" w:cs="宋体"/>
                <w:b/>
                <w:bCs/>
                <w:color w:val="auto"/>
                <w:sz w:val="21"/>
                <w:szCs w:val="21"/>
                <w:highlight w:val="none"/>
                <w:lang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对天融信数据库审计TA-DB提供设备1年的原厂维保服务</w:t>
            </w:r>
            <w:r>
              <w:rPr>
                <w:rFonts w:hint="eastAsia" w:ascii="宋体" w:hAnsi="宋体" w:eastAsia="宋体" w:cs="宋体"/>
                <w:color w:val="auto"/>
                <w:sz w:val="21"/>
                <w:szCs w:val="21"/>
                <w:highlight w:val="none"/>
                <w:lang w:eastAsia="zh-CN"/>
              </w:rPr>
              <w:t>；</w:t>
            </w:r>
            <w:r>
              <w:rPr>
                <w:rFonts w:hint="eastAsia" w:ascii="宋体" w:hAnsi="宋体" w:eastAsia="宋体" w:cs="宋体"/>
                <w:b/>
                <w:bCs/>
                <w:color w:val="auto"/>
                <w:sz w:val="21"/>
                <w:szCs w:val="21"/>
                <w:highlight w:val="none"/>
                <w:lang w:eastAsia="zh-CN"/>
              </w:rPr>
              <w:t>（响应文件中提供原厂服务承诺并加盖供应商公章，承诺函格式自拟）</w:t>
            </w:r>
          </w:p>
          <w:p w14:paraId="6B668171">
            <w:pPr>
              <w:numPr>
                <w:ilvl w:val="0"/>
                <w:numId w:val="0"/>
              </w:numPr>
              <w:spacing w:beforeLines="0" w:after="0" w:afterLines="0"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2、提供1年硬件整机保修服务，在硬件质保期内，对硬件产品整机给予保修；</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3、提供1年电话咨询及远程调试服务，在服务期内，由天融信原厂工程师提供电话咨询及远程技术协助服务；</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4、提供1年上门现场支持服务，在服务期内，对于采购人使用过程中遇到的问题，如采购人咨询及远程技术协助不能解决，将派遣天融信原厂工程师赴现场解决技术问题，为用户提供现场技术支持</w:t>
            </w:r>
            <w:r>
              <w:rPr>
                <w:rFonts w:hint="eastAsia" w:ascii="宋体" w:hAnsi="宋体" w:eastAsia="宋体" w:cs="宋体"/>
                <w:color w:val="auto"/>
                <w:sz w:val="21"/>
                <w:szCs w:val="21"/>
                <w:highlight w:val="none"/>
                <w:lang w:eastAsia="zh-CN"/>
              </w:rPr>
              <w:t>；</w:t>
            </w:r>
          </w:p>
          <w:p w14:paraId="4C468296">
            <w:pPr>
              <w:numPr>
                <w:ilvl w:val="0"/>
                <w:numId w:val="0"/>
              </w:numPr>
              <w:spacing w:beforeLines="0" w:after="0" w:afterLines="0" w:line="240" w:lineRule="auto"/>
              <w:ind w:left="0" w:leftChars="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rPr>
              <w:t>★5、每季度需要现场巡检一次，并提供巡检报告。</w:t>
            </w:r>
            <w:r>
              <w:rPr>
                <w:rFonts w:hint="eastAsia" w:ascii="宋体" w:hAnsi="宋体" w:eastAsia="宋体" w:cs="宋体"/>
                <w:b/>
                <w:bCs/>
                <w:sz w:val="21"/>
                <w:szCs w:val="21"/>
              </w:rPr>
              <w:t>（响应文件中供应商提供承诺函。）</w:t>
            </w:r>
          </w:p>
        </w:tc>
        <w:tc>
          <w:tcPr>
            <w:tcW w:w="662" w:type="dxa"/>
            <w:tcBorders>
              <w:top w:val="single" w:color="auto" w:sz="4" w:space="0"/>
              <w:left w:val="single" w:color="auto" w:sz="4" w:space="0"/>
              <w:bottom w:val="single" w:color="auto" w:sz="4" w:space="0"/>
              <w:right w:val="single" w:color="auto" w:sz="4" w:space="0"/>
            </w:tcBorders>
            <w:vAlign w:val="center"/>
          </w:tcPr>
          <w:p w14:paraId="1D3BE0A6">
            <w:pPr>
              <w:spacing w:beforeLines="0" w:after="0" w:afterLines="0" w:line="240" w:lineRule="auto"/>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sz w:val="21"/>
                <w:szCs w:val="21"/>
              </w:rPr>
              <w:t>项</w:t>
            </w:r>
          </w:p>
        </w:tc>
        <w:tc>
          <w:tcPr>
            <w:tcW w:w="688" w:type="dxa"/>
            <w:tcBorders>
              <w:top w:val="single" w:color="auto" w:sz="4" w:space="0"/>
              <w:left w:val="single" w:color="auto" w:sz="4" w:space="0"/>
              <w:bottom w:val="single" w:color="auto" w:sz="4" w:space="0"/>
              <w:right w:val="single" w:color="auto" w:sz="4" w:space="0"/>
            </w:tcBorders>
            <w:vAlign w:val="center"/>
          </w:tcPr>
          <w:p w14:paraId="0E4EBA92">
            <w:pPr>
              <w:spacing w:beforeLines="0" w:after="0" w:afterLines="0" w:line="240" w:lineRule="auto"/>
              <w:jc w:val="center"/>
              <w:rPr>
                <w:rFonts w:hint="eastAsia" w:ascii="宋体" w:hAnsi="宋体" w:eastAsia="宋体" w:cs="宋体"/>
                <w:sz w:val="21"/>
                <w:szCs w:val="21"/>
              </w:rPr>
            </w:pPr>
            <w:r>
              <w:rPr>
                <w:rFonts w:hint="eastAsia" w:ascii="宋体" w:hAnsi="宋体" w:eastAsia="宋体" w:cs="宋体"/>
                <w:sz w:val="21"/>
                <w:szCs w:val="21"/>
              </w:rPr>
              <w:t>1</w:t>
            </w:r>
          </w:p>
          <w:p w14:paraId="3E6F1503">
            <w:pPr>
              <w:spacing w:beforeLines="0" w:after="0" w:afterLines="0" w:line="240" w:lineRule="auto"/>
              <w:jc w:val="center"/>
              <w:rPr>
                <w:rFonts w:hint="eastAsia" w:ascii="宋体" w:hAnsi="宋体" w:eastAsia="宋体" w:cs="宋体"/>
                <w:color w:val="auto"/>
                <w:kern w:val="0"/>
                <w:sz w:val="21"/>
                <w:szCs w:val="21"/>
                <w:highlight w:val="none"/>
                <w:lang w:val="en-US" w:eastAsia="zh-CN"/>
              </w:rPr>
            </w:pPr>
          </w:p>
        </w:tc>
        <w:tc>
          <w:tcPr>
            <w:tcW w:w="677" w:type="dxa"/>
            <w:tcBorders>
              <w:top w:val="single" w:color="auto" w:sz="4" w:space="0"/>
              <w:left w:val="single" w:color="auto" w:sz="4" w:space="0"/>
              <w:bottom w:val="single" w:color="auto" w:sz="4" w:space="0"/>
              <w:right w:val="single" w:color="auto" w:sz="4" w:space="0"/>
            </w:tcBorders>
            <w:vAlign w:val="center"/>
          </w:tcPr>
          <w:p w14:paraId="7B67DBEF">
            <w:pPr>
              <w:widowControl/>
              <w:spacing w:line="360" w:lineRule="auto"/>
              <w:jc w:val="center"/>
              <w:rPr>
                <w:rFonts w:hint="eastAsia" w:ascii="宋体" w:hAnsi="宋体" w:eastAsia="宋体" w:cs="宋体"/>
                <w:color w:val="auto"/>
                <w:kern w:val="0"/>
                <w:sz w:val="21"/>
                <w:szCs w:val="21"/>
                <w:highlight w:val="none"/>
                <w:lang w:eastAsia="zh-CN"/>
              </w:rPr>
            </w:pPr>
          </w:p>
        </w:tc>
      </w:tr>
      <w:tr w14:paraId="26EF6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765" w:type="dxa"/>
            <w:tcBorders>
              <w:top w:val="single" w:color="auto" w:sz="4" w:space="0"/>
              <w:left w:val="single" w:color="auto" w:sz="4" w:space="0"/>
              <w:bottom w:val="single" w:color="auto" w:sz="4" w:space="0"/>
              <w:right w:val="single" w:color="auto" w:sz="4" w:space="0"/>
            </w:tcBorders>
            <w:vAlign w:val="center"/>
          </w:tcPr>
          <w:p w14:paraId="36A041B7">
            <w:pPr>
              <w:spacing w:beforeLines="0" w:after="0" w:afterLines="0" w:line="240" w:lineRule="auto"/>
              <w:jc w:val="center"/>
              <w:rPr>
                <w:rFonts w:hint="eastAsia" w:ascii="宋体" w:hAnsi="宋体" w:eastAsia="宋体" w:cs="宋体"/>
                <w:color w:val="000000"/>
                <w:kern w:val="0"/>
                <w:sz w:val="21"/>
                <w:szCs w:val="21"/>
              </w:rPr>
            </w:pPr>
            <w:r>
              <w:rPr>
                <w:rFonts w:hint="eastAsia" w:ascii="宋体" w:hAnsi="宋体" w:eastAsia="宋体" w:cs="宋体"/>
                <w:sz w:val="21"/>
                <w:szCs w:val="21"/>
              </w:rPr>
              <w:t>5</w:t>
            </w:r>
          </w:p>
        </w:tc>
        <w:tc>
          <w:tcPr>
            <w:tcW w:w="1075" w:type="dxa"/>
            <w:tcBorders>
              <w:top w:val="single" w:color="auto" w:sz="4" w:space="0"/>
              <w:left w:val="single" w:color="auto" w:sz="4" w:space="0"/>
              <w:bottom w:val="single" w:color="auto" w:sz="4" w:space="0"/>
              <w:right w:val="single" w:color="auto" w:sz="4" w:space="0"/>
            </w:tcBorders>
            <w:vAlign w:val="center"/>
          </w:tcPr>
          <w:p w14:paraId="379F9927">
            <w:pPr>
              <w:spacing w:beforeLines="0" w:after="0" w:afterLines="0"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sz w:val="21"/>
                <w:szCs w:val="21"/>
              </w:rPr>
              <w:t>堡垒机</w:t>
            </w:r>
          </w:p>
        </w:tc>
        <w:tc>
          <w:tcPr>
            <w:tcW w:w="5798" w:type="dxa"/>
            <w:tcBorders>
              <w:top w:val="single" w:color="auto" w:sz="4" w:space="0"/>
              <w:left w:val="single" w:color="auto" w:sz="4" w:space="0"/>
              <w:bottom w:val="single" w:color="auto" w:sz="4" w:space="0"/>
              <w:right w:val="single" w:color="auto" w:sz="4" w:space="0"/>
            </w:tcBorders>
            <w:vAlign w:val="top"/>
          </w:tcPr>
          <w:p w14:paraId="0C33F8BC">
            <w:pPr>
              <w:numPr>
                <w:ilvl w:val="0"/>
                <w:numId w:val="0"/>
              </w:numPr>
              <w:spacing w:beforeLines="0" w:after="0" w:afterLines="0"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对天融信堡垒机TopSAG提供设备1年的原厂维保服务</w:t>
            </w:r>
            <w:r>
              <w:rPr>
                <w:rFonts w:hint="eastAsia" w:ascii="宋体" w:hAnsi="宋体" w:eastAsia="宋体" w:cs="宋体"/>
                <w:color w:val="auto"/>
                <w:sz w:val="21"/>
                <w:szCs w:val="21"/>
                <w:highlight w:val="none"/>
                <w:lang w:eastAsia="zh-CN"/>
              </w:rPr>
              <w:t>；</w:t>
            </w:r>
            <w:r>
              <w:rPr>
                <w:rFonts w:hint="eastAsia" w:ascii="宋体" w:hAnsi="宋体" w:eastAsia="宋体" w:cs="宋体"/>
                <w:b/>
                <w:bCs/>
                <w:color w:val="auto"/>
                <w:sz w:val="21"/>
                <w:szCs w:val="21"/>
                <w:highlight w:val="none"/>
              </w:rPr>
              <w:t>（响应文件中提供原厂服务承诺并加盖供应商公章，承诺函格式自拟）</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2、提供1年硬件整机保修服务，在硬件质保期内，对硬件产品整机给予保修；</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3、提供1年电话咨询及远程调试服务，在服务期内，由天融信原厂工程师提供电话咨询及远程技术协助服务；</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4、提供1年上门现场支持服务，在服务期内，对于采购人使用过程中遇到的问题，如采购人咨询及远程技术协助不能解决，将派遣</w:t>
            </w:r>
            <w:r>
              <w:rPr>
                <w:rFonts w:hint="eastAsia" w:ascii="宋体" w:hAnsi="宋体" w:eastAsia="宋体" w:cs="宋体"/>
                <w:b w:val="0"/>
                <w:bCs w:val="0"/>
                <w:color w:val="auto"/>
                <w:sz w:val="21"/>
                <w:szCs w:val="21"/>
                <w:highlight w:val="none"/>
              </w:rPr>
              <w:t>天融信</w:t>
            </w:r>
            <w:r>
              <w:rPr>
                <w:rFonts w:hint="eastAsia" w:ascii="宋体" w:hAnsi="宋体" w:eastAsia="宋体" w:cs="宋体"/>
                <w:color w:val="auto"/>
                <w:sz w:val="21"/>
                <w:szCs w:val="21"/>
                <w:highlight w:val="none"/>
              </w:rPr>
              <w:t>原厂工程师赴现场解决技术问题，为用户提供现场技术支持。</w:t>
            </w:r>
          </w:p>
          <w:p w14:paraId="07BD497E">
            <w:pPr>
              <w:numPr>
                <w:ilvl w:val="0"/>
                <w:numId w:val="0"/>
              </w:numPr>
              <w:spacing w:beforeLines="0" w:after="0" w:afterLines="0" w:line="240" w:lineRule="auto"/>
              <w:ind w:left="0" w:leftChars="0" w:firstLine="0" w:firstLineChars="0"/>
              <w:rPr>
                <w:rFonts w:hint="eastAsia" w:ascii="宋体" w:hAnsi="宋体" w:eastAsia="宋体" w:cs="宋体"/>
                <w:sz w:val="21"/>
                <w:szCs w:val="21"/>
                <w:lang w:val="en-US" w:eastAsia="zh-CN"/>
              </w:rPr>
            </w:pPr>
            <w:r>
              <w:rPr>
                <w:rFonts w:hint="eastAsia" w:ascii="宋体" w:hAnsi="宋体" w:eastAsia="宋体" w:cs="宋体"/>
                <w:color w:val="auto"/>
                <w:sz w:val="21"/>
                <w:szCs w:val="21"/>
                <w:highlight w:val="none"/>
              </w:rPr>
              <w:t>★5、每季度需要现场巡检一次，并提供巡检报告。</w:t>
            </w:r>
            <w:r>
              <w:rPr>
                <w:rFonts w:hint="eastAsia" w:ascii="宋体" w:hAnsi="宋体" w:eastAsia="宋体" w:cs="宋体"/>
                <w:b/>
                <w:bCs/>
                <w:color w:val="auto"/>
                <w:sz w:val="21"/>
                <w:szCs w:val="21"/>
                <w:highlight w:val="none"/>
              </w:rPr>
              <w:t>（响应文件中供应商提供承诺函。）</w:t>
            </w:r>
          </w:p>
        </w:tc>
        <w:tc>
          <w:tcPr>
            <w:tcW w:w="662" w:type="dxa"/>
            <w:tcBorders>
              <w:top w:val="single" w:color="auto" w:sz="4" w:space="0"/>
              <w:left w:val="single" w:color="auto" w:sz="4" w:space="0"/>
              <w:bottom w:val="single" w:color="auto" w:sz="4" w:space="0"/>
              <w:right w:val="single" w:color="auto" w:sz="4" w:space="0"/>
            </w:tcBorders>
            <w:vAlign w:val="center"/>
          </w:tcPr>
          <w:p w14:paraId="1010D7D8">
            <w:pPr>
              <w:spacing w:beforeLines="0" w:after="0" w:afterLines="0" w:line="240" w:lineRule="auto"/>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sz w:val="21"/>
                <w:szCs w:val="21"/>
              </w:rPr>
              <w:t>项</w:t>
            </w:r>
          </w:p>
        </w:tc>
        <w:tc>
          <w:tcPr>
            <w:tcW w:w="688" w:type="dxa"/>
            <w:tcBorders>
              <w:top w:val="single" w:color="auto" w:sz="4" w:space="0"/>
              <w:left w:val="single" w:color="auto" w:sz="4" w:space="0"/>
              <w:bottom w:val="single" w:color="auto" w:sz="4" w:space="0"/>
              <w:right w:val="single" w:color="auto" w:sz="4" w:space="0"/>
            </w:tcBorders>
            <w:vAlign w:val="center"/>
          </w:tcPr>
          <w:p w14:paraId="4F58CB5F">
            <w:pPr>
              <w:spacing w:beforeLines="0" w:after="0" w:afterLines="0" w:line="240" w:lineRule="auto"/>
              <w:jc w:val="center"/>
              <w:rPr>
                <w:rFonts w:hint="eastAsia" w:ascii="宋体" w:hAnsi="宋体" w:eastAsia="宋体" w:cs="宋体"/>
                <w:sz w:val="21"/>
                <w:szCs w:val="21"/>
              </w:rPr>
            </w:pPr>
            <w:r>
              <w:rPr>
                <w:rFonts w:hint="eastAsia" w:ascii="宋体" w:hAnsi="宋体" w:eastAsia="宋体" w:cs="宋体"/>
                <w:sz w:val="21"/>
                <w:szCs w:val="21"/>
              </w:rPr>
              <w:t>1</w:t>
            </w:r>
          </w:p>
          <w:p w14:paraId="61D659B9">
            <w:pPr>
              <w:spacing w:beforeLines="0" w:after="0" w:afterLines="0" w:line="240" w:lineRule="auto"/>
              <w:jc w:val="center"/>
              <w:rPr>
                <w:rFonts w:hint="eastAsia" w:ascii="宋体" w:hAnsi="宋体" w:eastAsia="宋体" w:cs="宋体"/>
                <w:color w:val="auto"/>
                <w:kern w:val="0"/>
                <w:sz w:val="21"/>
                <w:szCs w:val="21"/>
                <w:highlight w:val="none"/>
                <w:lang w:val="en-US" w:eastAsia="zh-CN"/>
              </w:rPr>
            </w:pPr>
          </w:p>
        </w:tc>
        <w:tc>
          <w:tcPr>
            <w:tcW w:w="677" w:type="dxa"/>
            <w:tcBorders>
              <w:top w:val="single" w:color="auto" w:sz="4" w:space="0"/>
              <w:left w:val="single" w:color="auto" w:sz="4" w:space="0"/>
              <w:bottom w:val="single" w:color="auto" w:sz="4" w:space="0"/>
              <w:right w:val="single" w:color="auto" w:sz="4" w:space="0"/>
            </w:tcBorders>
            <w:vAlign w:val="center"/>
          </w:tcPr>
          <w:p w14:paraId="63E42A66">
            <w:pPr>
              <w:widowControl/>
              <w:spacing w:line="360" w:lineRule="auto"/>
              <w:jc w:val="center"/>
              <w:rPr>
                <w:rFonts w:hint="eastAsia" w:ascii="宋体" w:hAnsi="宋体" w:eastAsia="宋体" w:cs="宋体"/>
                <w:color w:val="auto"/>
                <w:kern w:val="0"/>
                <w:sz w:val="21"/>
                <w:szCs w:val="21"/>
                <w:highlight w:val="none"/>
                <w:lang w:eastAsia="zh-CN"/>
              </w:rPr>
            </w:pPr>
          </w:p>
        </w:tc>
      </w:tr>
      <w:tr w14:paraId="09F53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765" w:type="dxa"/>
            <w:tcBorders>
              <w:top w:val="single" w:color="auto" w:sz="4" w:space="0"/>
              <w:left w:val="single" w:color="auto" w:sz="4" w:space="0"/>
              <w:bottom w:val="single" w:color="auto" w:sz="4" w:space="0"/>
              <w:right w:val="single" w:color="auto" w:sz="4" w:space="0"/>
            </w:tcBorders>
            <w:vAlign w:val="center"/>
          </w:tcPr>
          <w:p w14:paraId="50933F76">
            <w:pPr>
              <w:spacing w:beforeLines="0" w:after="0" w:afterLines="0" w:line="240" w:lineRule="auto"/>
              <w:jc w:val="center"/>
              <w:rPr>
                <w:rFonts w:hint="eastAsia" w:ascii="宋体" w:hAnsi="宋体" w:eastAsia="宋体" w:cs="宋体"/>
                <w:color w:val="000000"/>
                <w:kern w:val="0"/>
                <w:sz w:val="21"/>
                <w:szCs w:val="21"/>
              </w:rPr>
            </w:pPr>
            <w:r>
              <w:rPr>
                <w:rFonts w:hint="eastAsia" w:ascii="宋体" w:hAnsi="宋体" w:eastAsia="宋体" w:cs="宋体"/>
                <w:sz w:val="21"/>
                <w:szCs w:val="21"/>
              </w:rPr>
              <w:t>6</w:t>
            </w:r>
          </w:p>
        </w:tc>
        <w:tc>
          <w:tcPr>
            <w:tcW w:w="1075" w:type="dxa"/>
            <w:tcBorders>
              <w:top w:val="single" w:color="auto" w:sz="4" w:space="0"/>
              <w:left w:val="single" w:color="auto" w:sz="4" w:space="0"/>
              <w:bottom w:val="single" w:color="auto" w:sz="4" w:space="0"/>
              <w:right w:val="single" w:color="auto" w:sz="4" w:space="0"/>
            </w:tcBorders>
            <w:vAlign w:val="center"/>
          </w:tcPr>
          <w:p w14:paraId="7119A2B9">
            <w:pPr>
              <w:spacing w:beforeLines="0" w:after="0" w:afterLines="0"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sz w:val="21"/>
                <w:szCs w:val="21"/>
              </w:rPr>
              <w:t>上网行为管理</w:t>
            </w:r>
          </w:p>
        </w:tc>
        <w:tc>
          <w:tcPr>
            <w:tcW w:w="5798" w:type="dxa"/>
            <w:tcBorders>
              <w:top w:val="single" w:color="auto" w:sz="4" w:space="0"/>
              <w:left w:val="single" w:color="auto" w:sz="4" w:space="0"/>
              <w:bottom w:val="single" w:color="auto" w:sz="4" w:space="0"/>
              <w:right w:val="single" w:color="auto" w:sz="4" w:space="0"/>
            </w:tcBorders>
            <w:vAlign w:val="top"/>
          </w:tcPr>
          <w:p w14:paraId="48AB4C59">
            <w:pPr>
              <w:numPr>
                <w:ilvl w:val="0"/>
                <w:numId w:val="0"/>
              </w:numPr>
              <w:spacing w:beforeLines="0" w:after="0" w:afterLines="0" w:line="240" w:lineRule="auto"/>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对深信服上网行为管理AC-1000-E440提供1年软件升级及产品质保服务</w:t>
            </w:r>
            <w:r>
              <w:rPr>
                <w:rFonts w:hint="eastAsia" w:ascii="宋体" w:hAnsi="宋体" w:eastAsia="宋体" w:cs="宋体"/>
                <w:sz w:val="21"/>
                <w:szCs w:val="21"/>
                <w:lang w:eastAsia="zh-CN"/>
              </w:rPr>
              <w:t>；</w:t>
            </w:r>
            <w:r>
              <w:rPr>
                <w:rFonts w:hint="eastAsia" w:ascii="宋体" w:hAnsi="宋体" w:eastAsia="宋体" w:cs="宋体"/>
                <w:b/>
                <w:bCs/>
                <w:color w:val="auto"/>
                <w:sz w:val="21"/>
                <w:szCs w:val="21"/>
                <w:highlight w:val="none"/>
              </w:rPr>
              <w:t>（（响应文件中提供原厂服务承诺并加盖供应商公章，承诺函格式自拟）</w:t>
            </w:r>
            <w:r>
              <w:rPr>
                <w:rFonts w:hint="eastAsia" w:ascii="宋体" w:hAnsi="宋体" w:eastAsia="宋体" w:cs="宋体"/>
                <w:b/>
                <w:bCs/>
                <w:color w:val="auto"/>
                <w:sz w:val="21"/>
                <w:szCs w:val="21"/>
                <w:highlight w:val="none"/>
              </w:rPr>
              <w:br w:type="textWrapping"/>
            </w:r>
            <w:r>
              <w:rPr>
                <w:rFonts w:hint="eastAsia" w:ascii="宋体" w:hAnsi="宋体" w:eastAsia="宋体" w:cs="宋体"/>
                <w:sz w:val="21"/>
                <w:szCs w:val="21"/>
              </w:rPr>
              <w:t>2.提供1年硬件整机保修服务，在硬件保修期内，对硬件产品整机给予保修；</w:t>
            </w:r>
            <w:r>
              <w:rPr>
                <w:rFonts w:hint="eastAsia" w:ascii="宋体" w:hAnsi="宋体" w:eastAsia="宋体" w:cs="宋体"/>
                <w:sz w:val="21"/>
                <w:szCs w:val="21"/>
              </w:rPr>
              <w:br w:type="textWrapping"/>
            </w:r>
            <w:r>
              <w:rPr>
                <w:rFonts w:hint="eastAsia" w:ascii="宋体" w:hAnsi="宋体" w:eastAsia="宋体" w:cs="宋体"/>
                <w:sz w:val="21"/>
                <w:szCs w:val="21"/>
              </w:rPr>
              <w:t>3.提供1年软件升级服务，在软件升级服务期内，对软件内核进行版本升级及更新；</w:t>
            </w:r>
            <w:r>
              <w:rPr>
                <w:rFonts w:hint="eastAsia" w:ascii="宋体" w:hAnsi="宋体" w:eastAsia="宋体" w:cs="宋体"/>
                <w:sz w:val="21"/>
                <w:szCs w:val="21"/>
              </w:rPr>
              <w:br w:type="textWrapping"/>
            </w:r>
            <w:r>
              <w:rPr>
                <w:rFonts w:hint="eastAsia" w:ascii="宋体" w:hAnsi="宋体" w:eastAsia="宋体" w:cs="宋体"/>
                <w:sz w:val="21"/>
                <w:szCs w:val="21"/>
              </w:rPr>
              <w:t>4.提供1年电话咨询及远程调试服务，在服务期内，由经过技术认证的工程师提供电话咨询及远程技术协助服务；</w:t>
            </w:r>
            <w:r>
              <w:rPr>
                <w:rFonts w:hint="eastAsia" w:ascii="宋体" w:hAnsi="宋体" w:eastAsia="宋体" w:cs="宋体"/>
                <w:sz w:val="21"/>
                <w:szCs w:val="21"/>
              </w:rPr>
              <w:br w:type="textWrapping"/>
            </w:r>
            <w:r>
              <w:rPr>
                <w:rFonts w:hint="eastAsia" w:ascii="宋体" w:hAnsi="宋体" w:eastAsia="宋体" w:cs="宋体"/>
                <w:sz w:val="21"/>
                <w:szCs w:val="21"/>
              </w:rPr>
              <w:t>5.提供1年上门现场支持服务，在服务期内，对于采购人使用过程中遇到的问题，如采购人咨询及远程调试不能解决，将派遣经过技术认证的工程师赶赴现场解决技术问题，为采购人进行现场技术支持。</w:t>
            </w:r>
          </w:p>
          <w:p w14:paraId="3D4B1092">
            <w:pPr>
              <w:numPr>
                <w:ilvl w:val="0"/>
                <w:numId w:val="0"/>
              </w:numPr>
              <w:spacing w:beforeLines="0" w:after="0" w:afterLines="0" w:line="240" w:lineRule="auto"/>
              <w:ind w:left="0" w:leftChars="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rPr>
              <w:t>★6、每季度需要现场巡检一次，并提供巡检报告。</w:t>
            </w:r>
            <w:r>
              <w:rPr>
                <w:rFonts w:hint="eastAsia" w:ascii="宋体" w:hAnsi="宋体" w:eastAsia="宋体" w:cs="宋体"/>
                <w:b/>
                <w:bCs/>
                <w:sz w:val="21"/>
                <w:szCs w:val="21"/>
              </w:rPr>
              <w:t>（响应文件中供应商提供承诺函。）</w:t>
            </w:r>
          </w:p>
        </w:tc>
        <w:tc>
          <w:tcPr>
            <w:tcW w:w="662" w:type="dxa"/>
            <w:tcBorders>
              <w:top w:val="single" w:color="auto" w:sz="4" w:space="0"/>
              <w:left w:val="single" w:color="auto" w:sz="4" w:space="0"/>
              <w:bottom w:val="single" w:color="auto" w:sz="4" w:space="0"/>
              <w:right w:val="single" w:color="auto" w:sz="4" w:space="0"/>
            </w:tcBorders>
            <w:vAlign w:val="center"/>
          </w:tcPr>
          <w:p w14:paraId="76CF3B30">
            <w:pPr>
              <w:spacing w:beforeLines="0" w:after="0" w:afterLines="0" w:line="240" w:lineRule="auto"/>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sz w:val="21"/>
                <w:szCs w:val="21"/>
              </w:rPr>
              <w:t>项</w:t>
            </w:r>
          </w:p>
        </w:tc>
        <w:tc>
          <w:tcPr>
            <w:tcW w:w="688" w:type="dxa"/>
            <w:tcBorders>
              <w:top w:val="single" w:color="auto" w:sz="4" w:space="0"/>
              <w:left w:val="single" w:color="auto" w:sz="4" w:space="0"/>
              <w:bottom w:val="single" w:color="auto" w:sz="4" w:space="0"/>
              <w:right w:val="single" w:color="auto" w:sz="4" w:space="0"/>
            </w:tcBorders>
            <w:vAlign w:val="center"/>
          </w:tcPr>
          <w:p w14:paraId="58A8CE6A">
            <w:pPr>
              <w:spacing w:beforeLines="0" w:after="0" w:afterLines="0" w:line="240" w:lineRule="auto"/>
              <w:jc w:val="center"/>
              <w:rPr>
                <w:rFonts w:hint="eastAsia" w:ascii="宋体" w:hAnsi="宋体" w:eastAsia="宋体" w:cs="宋体"/>
                <w:sz w:val="21"/>
                <w:szCs w:val="21"/>
              </w:rPr>
            </w:pPr>
            <w:r>
              <w:rPr>
                <w:rFonts w:hint="eastAsia" w:ascii="宋体" w:hAnsi="宋体" w:eastAsia="宋体" w:cs="宋体"/>
                <w:sz w:val="21"/>
                <w:szCs w:val="21"/>
              </w:rPr>
              <w:t>1</w:t>
            </w:r>
          </w:p>
          <w:p w14:paraId="1D127578">
            <w:pPr>
              <w:spacing w:beforeLines="0" w:after="0" w:afterLines="0" w:line="240" w:lineRule="auto"/>
              <w:jc w:val="center"/>
              <w:rPr>
                <w:rFonts w:hint="eastAsia" w:ascii="宋体" w:hAnsi="宋体" w:eastAsia="宋体" w:cs="宋体"/>
                <w:color w:val="auto"/>
                <w:kern w:val="0"/>
                <w:sz w:val="21"/>
                <w:szCs w:val="21"/>
                <w:highlight w:val="none"/>
                <w:lang w:val="en-US" w:eastAsia="zh-CN"/>
              </w:rPr>
            </w:pPr>
          </w:p>
        </w:tc>
        <w:tc>
          <w:tcPr>
            <w:tcW w:w="677" w:type="dxa"/>
            <w:tcBorders>
              <w:top w:val="single" w:color="auto" w:sz="4" w:space="0"/>
              <w:left w:val="single" w:color="auto" w:sz="4" w:space="0"/>
              <w:bottom w:val="single" w:color="auto" w:sz="4" w:space="0"/>
              <w:right w:val="single" w:color="auto" w:sz="4" w:space="0"/>
            </w:tcBorders>
            <w:vAlign w:val="center"/>
          </w:tcPr>
          <w:p w14:paraId="4CC19E8E">
            <w:pPr>
              <w:widowControl/>
              <w:spacing w:line="360" w:lineRule="auto"/>
              <w:jc w:val="center"/>
              <w:rPr>
                <w:rFonts w:hint="eastAsia" w:ascii="宋体" w:hAnsi="宋体" w:eastAsia="宋体" w:cs="宋体"/>
                <w:color w:val="auto"/>
                <w:kern w:val="0"/>
                <w:sz w:val="21"/>
                <w:szCs w:val="21"/>
                <w:highlight w:val="none"/>
                <w:lang w:eastAsia="zh-CN"/>
              </w:rPr>
            </w:pPr>
          </w:p>
        </w:tc>
      </w:tr>
      <w:tr w14:paraId="1F355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765" w:type="dxa"/>
            <w:tcBorders>
              <w:top w:val="single" w:color="auto" w:sz="4" w:space="0"/>
              <w:left w:val="single" w:color="auto" w:sz="4" w:space="0"/>
              <w:bottom w:val="single" w:color="auto" w:sz="4" w:space="0"/>
              <w:right w:val="single" w:color="auto" w:sz="4" w:space="0"/>
            </w:tcBorders>
            <w:vAlign w:val="center"/>
          </w:tcPr>
          <w:p w14:paraId="3358D44D">
            <w:pPr>
              <w:spacing w:beforeLines="0" w:after="0" w:afterLines="0" w:line="240" w:lineRule="auto"/>
              <w:jc w:val="center"/>
              <w:rPr>
                <w:rFonts w:hint="eastAsia" w:ascii="宋体" w:hAnsi="宋体" w:eastAsia="宋体" w:cs="宋体"/>
                <w:color w:val="000000"/>
                <w:kern w:val="0"/>
                <w:sz w:val="21"/>
                <w:szCs w:val="21"/>
              </w:rPr>
            </w:pPr>
            <w:r>
              <w:rPr>
                <w:rFonts w:hint="eastAsia" w:ascii="宋体" w:hAnsi="宋体" w:eastAsia="宋体" w:cs="宋体"/>
                <w:sz w:val="21"/>
                <w:szCs w:val="21"/>
              </w:rPr>
              <w:t>7</w:t>
            </w:r>
          </w:p>
        </w:tc>
        <w:tc>
          <w:tcPr>
            <w:tcW w:w="1075" w:type="dxa"/>
            <w:tcBorders>
              <w:top w:val="single" w:color="auto" w:sz="4" w:space="0"/>
              <w:left w:val="single" w:color="auto" w:sz="4" w:space="0"/>
              <w:bottom w:val="single" w:color="auto" w:sz="4" w:space="0"/>
              <w:right w:val="single" w:color="auto" w:sz="4" w:space="0"/>
            </w:tcBorders>
            <w:vAlign w:val="center"/>
          </w:tcPr>
          <w:p w14:paraId="204B8416">
            <w:pPr>
              <w:spacing w:beforeLines="0" w:after="0" w:afterLines="0"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sz w:val="21"/>
                <w:szCs w:val="21"/>
              </w:rPr>
              <w:t>入侵防御</w:t>
            </w:r>
          </w:p>
        </w:tc>
        <w:tc>
          <w:tcPr>
            <w:tcW w:w="5798" w:type="dxa"/>
            <w:tcBorders>
              <w:top w:val="single" w:color="auto" w:sz="4" w:space="0"/>
              <w:left w:val="single" w:color="auto" w:sz="4" w:space="0"/>
              <w:bottom w:val="single" w:color="auto" w:sz="4" w:space="0"/>
              <w:right w:val="single" w:color="auto" w:sz="4" w:space="0"/>
            </w:tcBorders>
            <w:vAlign w:val="top"/>
          </w:tcPr>
          <w:p w14:paraId="3186DF4E">
            <w:pPr>
              <w:spacing w:beforeLines="0" w:after="0" w:afterLines="0" w:line="240" w:lineRule="auto"/>
              <w:rPr>
                <w:rFonts w:hint="eastAsia" w:ascii="宋体" w:hAnsi="宋体" w:eastAsia="宋体" w:cs="宋体"/>
                <w:sz w:val="21"/>
                <w:szCs w:val="21"/>
              </w:rPr>
            </w:pPr>
            <w:r>
              <w:rPr>
                <w:rFonts w:hint="eastAsia" w:ascii="宋体" w:hAnsi="宋体" w:eastAsia="宋体" w:cs="宋体"/>
                <w:sz w:val="21"/>
                <w:szCs w:val="21"/>
              </w:rPr>
              <w:t>提供学校现有IPS设备以下服务（山石网科SG-6000-S2060）</w:t>
            </w:r>
            <w:r>
              <w:rPr>
                <w:rFonts w:hint="eastAsia" w:ascii="宋体" w:hAnsi="宋体" w:eastAsia="宋体" w:cs="宋体"/>
                <w:b/>
                <w:bCs/>
                <w:color w:val="auto"/>
                <w:sz w:val="21"/>
                <w:szCs w:val="21"/>
                <w:highlight w:val="none"/>
              </w:rPr>
              <w:t>（响应文件中提供原厂服务承诺并加盖供应商公章，承诺函格式自拟）</w:t>
            </w:r>
            <w:r>
              <w:rPr>
                <w:rFonts w:hint="eastAsia" w:ascii="宋体" w:hAnsi="宋体" w:eastAsia="宋体" w:cs="宋体"/>
                <w:sz w:val="21"/>
                <w:szCs w:val="21"/>
              </w:rPr>
              <w:br w:type="textWrapping"/>
            </w:r>
            <w:r>
              <w:rPr>
                <w:rFonts w:hint="eastAsia" w:ascii="宋体" w:hAnsi="宋体" w:eastAsia="宋体" w:cs="宋体"/>
                <w:sz w:val="21"/>
                <w:szCs w:val="21"/>
              </w:rPr>
              <w:t>1、原厂硬件质保1年；</w:t>
            </w:r>
            <w:r>
              <w:rPr>
                <w:rFonts w:hint="eastAsia" w:ascii="宋体" w:hAnsi="宋体" w:eastAsia="宋体" w:cs="宋体"/>
                <w:sz w:val="21"/>
                <w:szCs w:val="21"/>
              </w:rPr>
              <w:br w:type="textWrapping"/>
            </w:r>
            <w:r>
              <w:rPr>
                <w:rFonts w:hint="eastAsia" w:ascii="宋体" w:hAnsi="宋体" w:eastAsia="宋体" w:cs="宋体"/>
                <w:sz w:val="21"/>
                <w:szCs w:val="21"/>
              </w:rPr>
              <w:t>2、软件免费升级服务1年；</w:t>
            </w:r>
            <w:r>
              <w:rPr>
                <w:rFonts w:hint="eastAsia" w:ascii="宋体" w:hAnsi="宋体" w:eastAsia="宋体" w:cs="宋体"/>
                <w:sz w:val="21"/>
                <w:szCs w:val="21"/>
              </w:rPr>
              <w:br w:type="textWrapping"/>
            </w:r>
            <w:r>
              <w:rPr>
                <w:rFonts w:hint="eastAsia" w:ascii="宋体" w:hAnsi="宋体" w:eastAsia="宋体" w:cs="宋体"/>
                <w:sz w:val="21"/>
                <w:szCs w:val="21"/>
              </w:rPr>
              <w:t>3、IPS特征库免费升级服务1年；</w:t>
            </w:r>
            <w:r>
              <w:rPr>
                <w:rFonts w:hint="eastAsia" w:ascii="宋体" w:hAnsi="宋体" w:eastAsia="宋体" w:cs="宋体"/>
                <w:sz w:val="21"/>
                <w:szCs w:val="21"/>
              </w:rPr>
              <w:br w:type="textWrapping"/>
            </w:r>
            <w:r>
              <w:rPr>
                <w:rFonts w:hint="eastAsia" w:ascii="宋体" w:hAnsi="宋体" w:eastAsia="宋体" w:cs="宋体"/>
                <w:sz w:val="21"/>
                <w:szCs w:val="21"/>
              </w:rPr>
              <w:t>4、AV特征库免费升级服务1年；</w:t>
            </w:r>
          </w:p>
          <w:p w14:paraId="3BD16313">
            <w:pPr>
              <w:numPr>
                <w:ilvl w:val="0"/>
                <w:numId w:val="0"/>
              </w:numPr>
              <w:spacing w:beforeLines="0" w:after="0" w:afterLines="0" w:line="240" w:lineRule="auto"/>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提供1年上门现场支持服务，在服务期内，对于采购人使用过程中遇到的问题，如采购人咨询及远程调试不能解决，将派遣经过技术认证的工程师赶赴现场解决技术问题，为采购人进行现场技术支持。</w:t>
            </w:r>
          </w:p>
          <w:p w14:paraId="2D6B5738">
            <w:pPr>
              <w:numPr>
                <w:ilvl w:val="0"/>
                <w:numId w:val="0"/>
              </w:numPr>
              <w:spacing w:beforeLines="0" w:after="0" w:afterLines="0" w:line="240" w:lineRule="auto"/>
              <w:ind w:left="0" w:leftChars="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rPr>
              <w:t>★6、每季度需要现场巡检一次，并提供巡检报告。</w:t>
            </w:r>
            <w:r>
              <w:rPr>
                <w:rFonts w:hint="eastAsia" w:ascii="宋体" w:hAnsi="宋体" w:eastAsia="宋体" w:cs="宋体"/>
                <w:b/>
                <w:bCs/>
                <w:sz w:val="21"/>
                <w:szCs w:val="21"/>
              </w:rPr>
              <w:t>（响应文件中供应商提供承诺函。）</w:t>
            </w:r>
          </w:p>
        </w:tc>
        <w:tc>
          <w:tcPr>
            <w:tcW w:w="662" w:type="dxa"/>
            <w:tcBorders>
              <w:top w:val="single" w:color="auto" w:sz="4" w:space="0"/>
              <w:left w:val="single" w:color="auto" w:sz="4" w:space="0"/>
              <w:bottom w:val="single" w:color="auto" w:sz="4" w:space="0"/>
              <w:right w:val="single" w:color="auto" w:sz="4" w:space="0"/>
            </w:tcBorders>
            <w:vAlign w:val="center"/>
          </w:tcPr>
          <w:p w14:paraId="04B425B9">
            <w:pPr>
              <w:spacing w:beforeLines="0" w:after="0" w:afterLines="0" w:line="240" w:lineRule="auto"/>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sz w:val="21"/>
                <w:szCs w:val="21"/>
              </w:rPr>
              <w:t>项</w:t>
            </w:r>
          </w:p>
        </w:tc>
        <w:tc>
          <w:tcPr>
            <w:tcW w:w="688" w:type="dxa"/>
            <w:tcBorders>
              <w:top w:val="single" w:color="auto" w:sz="4" w:space="0"/>
              <w:left w:val="single" w:color="auto" w:sz="4" w:space="0"/>
              <w:bottom w:val="single" w:color="auto" w:sz="4" w:space="0"/>
              <w:right w:val="single" w:color="auto" w:sz="4" w:space="0"/>
            </w:tcBorders>
            <w:vAlign w:val="center"/>
          </w:tcPr>
          <w:p w14:paraId="16F944DB">
            <w:pPr>
              <w:spacing w:beforeLines="0" w:after="0" w:afterLines="0" w:line="240" w:lineRule="auto"/>
              <w:jc w:val="center"/>
              <w:rPr>
                <w:rFonts w:hint="eastAsia" w:ascii="宋体" w:hAnsi="宋体" w:eastAsia="宋体" w:cs="宋体"/>
                <w:sz w:val="21"/>
                <w:szCs w:val="21"/>
              </w:rPr>
            </w:pPr>
            <w:r>
              <w:rPr>
                <w:rFonts w:hint="eastAsia" w:ascii="宋体" w:hAnsi="宋体" w:eastAsia="宋体" w:cs="宋体"/>
                <w:sz w:val="21"/>
                <w:szCs w:val="21"/>
              </w:rPr>
              <w:t>1</w:t>
            </w:r>
          </w:p>
          <w:p w14:paraId="02D90AAF">
            <w:pPr>
              <w:spacing w:beforeLines="0" w:after="0" w:afterLines="0" w:line="240" w:lineRule="auto"/>
              <w:jc w:val="center"/>
              <w:rPr>
                <w:rFonts w:hint="eastAsia" w:ascii="宋体" w:hAnsi="宋体" w:eastAsia="宋体" w:cs="宋体"/>
                <w:color w:val="auto"/>
                <w:kern w:val="0"/>
                <w:sz w:val="21"/>
                <w:szCs w:val="21"/>
                <w:highlight w:val="none"/>
                <w:lang w:val="en-US" w:eastAsia="zh-CN"/>
              </w:rPr>
            </w:pPr>
          </w:p>
        </w:tc>
        <w:tc>
          <w:tcPr>
            <w:tcW w:w="677" w:type="dxa"/>
            <w:tcBorders>
              <w:top w:val="single" w:color="auto" w:sz="4" w:space="0"/>
              <w:left w:val="single" w:color="auto" w:sz="4" w:space="0"/>
              <w:bottom w:val="single" w:color="auto" w:sz="4" w:space="0"/>
              <w:right w:val="single" w:color="auto" w:sz="4" w:space="0"/>
            </w:tcBorders>
            <w:vAlign w:val="center"/>
          </w:tcPr>
          <w:p w14:paraId="05F40F10">
            <w:pPr>
              <w:widowControl/>
              <w:spacing w:line="360" w:lineRule="auto"/>
              <w:jc w:val="center"/>
              <w:rPr>
                <w:rFonts w:hint="eastAsia" w:ascii="宋体" w:hAnsi="宋体" w:eastAsia="宋体" w:cs="宋体"/>
                <w:color w:val="auto"/>
                <w:kern w:val="0"/>
                <w:sz w:val="21"/>
                <w:szCs w:val="21"/>
                <w:highlight w:val="none"/>
                <w:lang w:eastAsia="zh-CN"/>
              </w:rPr>
            </w:pPr>
          </w:p>
        </w:tc>
      </w:tr>
      <w:tr w14:paraId="2E80F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65" w:type="dxa"/>
            <w:gridSpan w:val="6"/>
            <w:tcBorders>
              <w:top w:val="single" w:color="auto" w:sz="4" w:space="0"/>
              <w:left w:val="single" w:color="auto" w:sz="4" w:space="0"/>
              <w:bottom w:val="single" w:color="auto" w:sz="4" w:space="0"/>
              <w:right w:val="single" w:color="auto" w:sz="4" w:space="0"/>
            </w:tcBorders>
          </w:tcPr>
          <w:p w14:paraId="31610E49">
            <w:pPr>
              <w:pageBreakBefore w:val="0"/>
              <w:widowControl/>
              <w:kinsoku/>
              <w:overflowPunct/>
              <w:topLinePunct w:val="0"/>
              <w:bidi w:val="0"/>
              <w:snapToGrid/>
              <w:spacing w:line="360" w:lineRule="auto"/>
              <w:jc w:val="lef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服务要求：</w:t>
            </w:r>
          </w:p>
          <w:p w14:paraId="62FE5B09">
            <w:pPr>
              <w:pageBreakBefore w:val="0"/>
              <w:widowControl/>
              <w:kinsoku/>
              <w:overflowPunct/>
              <w:topLinePunct w:val="0"/>
              <w:bidi w:val="0"/>
              <w:snapToGrid/>
              <w:spacing w:line="360" w:lineRule="auto"/>
              <w:jc w:val="lef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1、响应人的响应文件必须标明所投货物的品牌与参数，保证原厂正品供货。</w:t>
            </w:r>
          </w:p>
          <w:p w14:paraId="6B5F1CDD">
            <w:pPr>
              <w:pageBreakBefore w:val="0"/>
              <w:widowControl/>
              <w:kinsoku/>
              <w:overflowPunct/>
              <w:topLinePunct w:val="0"/>
              <w:bidi w:val="0"/>
              <w:snapToGrid/>
              <w:spacing w:line="360" w:lineRule="auto"/>
              <w:jc w:val="lef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2、应根据采购人的要求进行培训，直到熟练使用。</w:t>
            </w:r>
          </w:p>
          <w:p w14:paraId="69AA3E00">
            <w:pPr>
              <w:pageBreakBefore w:val="0"/>
              <w:widowControl/>
              <w:kinsoku/>
              <w:overflowPunct/>
              <w:topLinePunct w:val="0"/>
              <w:bidi w:val="0"/>
              <w:snapToGrid/>
              <w:spacing w:line="360" w:lineRule="auto"/>
              <w:jc w:val="left"/>
              <w:textAlignment w:val="auto"/>
              <w:rPr>
                <w:rFonts w:hint="eastAsia" w:ascii="宋体" w:hAnsi="宋体" w:eastAsia="宋体" w:cs="宋体"/>
                <w:color w:val="auto"/>
                <w:sz w:val="21"/>
                <w:szCs w:val="21"/>
                <w:lang w:val="en-US"/>
              </w:rPr>
            </w:pPr>
            <w:r>
              <w:rPr>
                <w:rFonts w:hint="eastAsia" w:ascii="宋体" w:hAnsi="宋体" w:eastAsia="宋体" w:cs="宋体"/>
                <w:b/>
                <w:bCs/>
                <w:color w:val="auto"/>
                <w:sz w:val="21"/>
                <w:szCs w:val="21"/>
                <w:highlight w:val="none"/>
                <w:lang w:val="en-US" w:eastAsia="zh-CN"/>
              </w:rPr>
              <w:t>3、响应人免费提供7*24小时电话或电子邮件服务及7*8小时现场服务。对于现场服务，谈判响应人须在接到采购人报修，24小时内派遣工程技术人员到达提供现场服务。</w:t>
            </w:r>
          </w:p>
        </w:tc>
      </w:tr>
    </w:tbl>
    <w:p w14:paraId="5AE109EB">
      <w:pPr>
        <w:keepNext/>
        <w:keepLines/>
        <w:pageBreakBefore w:val="0"/>
        <w:widowControl w:val="0"/>
        <w:tabs>
          <w:tab w:val="left" w:pos="2730"/>
        </w:tabs>
        <w:kinsoku/>
        <w:wordWrap w:val="0"/>
        <w:overflowPunct/>
        <w:topLinePunct w:val="0"/>
        <w:autoSpaceDE w:val="0"/>
        <w:autoSpaceDN w:val="0"/>
        <w:bidi w:val="0"/>
        <w:adjustRightInd w:val="0"/>
        <w:snapToGrid/>
        <w:spacing w:line="360" w:lineRule="auto"/>
        <w:ind w:firstLine="413" w:firstLineChars="196"/>
        <w:jc w:val="left"/>
        <w:textAlignment w:val="auto"/>
        <w:outlineLvl w:val="2"/>
        <w:rPr>
          <w:rFonts w:ascii="宋体" w:hAnsi="Times New Roman" w:eastAsia="宋体" w:cs="Times New Roman"/>
          <w:b/>
          <w:color w:val="auto"/>
          <w:kern w:val="0"/>
          <w:sz w:val="21"/>
          <w:szCs w:val="21"/>
          <w:highlight w:val="none"/>
          <w:lang w:val="en-US" w:eastAsia="zh-CN" w:bidi="ar-SA"/>
        </w:rPr>
      </w:pPr>
      <w:r>
        <w:rPr>
          <w:rFonts w:hint="eastAsia" w:ascii="宋体" w:hAnsi="Times New Roman" w:eastAsia="宋体" w:cs="Times New Roman"/>
          <w:b/>
          <w:color w:val="auto"/>
          <w:kern w:val="0"/>
          <w:sz w:val="21"/>
          <w:szCs w:val="21"/>
          <w:highlight w:val="none"/>
          <w:lang w:val="en-US" w:eastAsia="zh-CN" w:bidi="ar-SA"/>
        </w:rPr>
        <w:t>三、验收</w:t>
      </w:r>
    </w:p>
    <w:p w14:paraId="1929CFD7">
      <w:pPr>
        <w:pageBreakBefore w:val="0"/>
        <w:widowControl/>
        <w:kinsoku/>
        <w:overflowPunct/>
        <w:topLinePunct w:val="0"/>
        <w:bidi w:val="0"/>
        <w:snapToGrid/>
        <w:spacing w:line="360" w:lineRule="auto"/>
        <w:ind w:firstLine="405"/>
        <w:jc w:val="left"/>
        <w:textAlignment w:val="auto"/>
      </w:pPr>
      <w:r>
        <w:rPr>
          <w:rFonts w:hint="eastAsia" w:ascii="宋体" w:hAnsi="宋体" w:eastAsia="宋体" w:cs="Times New Roman"/>
          <w:color w:val="auto"/>
          <w:sz w:val="21"/>
          <w:szCs w:val="21"/>
          <w:highlight w:val="none"/>
          <w:lang w:val="en-US" w:eastAsia="zh-CN"/>
        </w:rPr>
        <w:t>成交</w:t>
      </w:r>
      <w:r>
        <w:rPr>
          <w:rFonts w:hint="eastAsia" w:ascii="宋体" w:hAnsi="宋体" w:eastAsia="宋体" w:cs="Times New Roman"/>
          <w:color w:val="auto"/>
          <w:sz w:val="21"/>
          <w:szCs w:val="21"/>
          <w:highlight w:val="none"/>
        </w:rPr>
        <w:t>人和采购人双方共同实施验收工作，结果和验收报告经双方确认后生</w:t>
      </w:r>
      <w:r>
        <w:rPr>
          <w:rFonts w:hint="eastAsia" w:ascii="宋体" w:hAnsi="宋体" w:eastAsia="宋体" w:cs="Times New Roman"/>
          <w:color w:val="auto"/>
          <w:sz w:val="21"/>
          <w:szCs w:val="21"/>
          <w:highlight w:val="none"/>
          <w:lang w:eastAsia="zh-CN"/>
        </w:rPr>
        <w:t>效。</w:t>
      </w:r>
      <w:bookmarkEnd w:id="0"/>
      <w:bookmarkEnd w:id="1"/>
      <w:bookmarkStart w:id="2" w:name="_GoBack"/>
      <w:bookmarkEnd w:id="2"/>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DD667D">
    <w:pPr>
      <w:widowControl w:val="0"/>
      <w:pBdr>
        <w:top w:val="single" w:color="auto" w:sz="4" w:space="1"/>
      </w:pBdr>
      <w:tabs>
        <w:tab w:val="center" w:pos="4153"/>
        <w:tab w:val="right" w:pos="8306"/>
      </w:tabs>
      <w:snapToGrid w:val="0"/>
      <w:jc w:val="center"/>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D1F58D6">
                          <w:pPr>
                            <w:widowControl w:val="0"/>
                            <w:tabs>
                              <w:tab w:val="center" w:pos="4153"/>
                              <w:tab w:val="right" w:pos="8306"/>
                            </w:tabs>
                            <w:snapToGrid w:val="0"/>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fldChar w:fldCharType="begin"/>
                          </w:r>
                          <w:r>
                            <w:rPr>
                              <w:rFonts w:ascii="Times New Roman" w:hAnsi="Times New Roman" w:eastAsia="宋体" w:cs="Times New Roman"/>
                              <w:kern w:val="2"/>
                              <w:sz w:val="18"/>
                              <w:szCs w:val="18"/>
                              <w:lang w:val="en-US" w:eastAsia="zh-CN" w:bidi="ar-SA"/>
                            </w:rPr>
                            <w:instrText xml:space="preserve"> PAGE  \* MERGEFORMAT </w:instrText>
                          </w:r>
                          <w:r>
                            <w:rPr>
                              <w:rFonts w:ascii="Times New Roman" w:hAnsi="Times New Roman" w:eastAsia="宋体" w:cs="Times New Roman"/>
                              <w:kern w:val="2"/>
                              <w:sz w:val="18"/>
                              <w:szCs w:val="18"/>
                              <w:lang w:val="en-US" w:eastAsia="zh-CN" w:bidi="ar-SA"/>
                            </w:rPr>
                            <w:fldChar w:fldCharType="separate"/>
                          </w:r>
                          <w:r>
                            <w:rPr>
                              <w:rFonts w:ascii="Times New Roman" w:hAnsi="Times New Roman" w:eastAsia="宋体" w:cs="Times New Roman"/>
                              <w:kern w:val="2"/>
                              <w:sz w:val="18"/>
                              <w:szCs w:val="18"/>
                              <w:lang w:val="en-US" w:eastAsia="zh-CN" w:bidi="ar-SA"/>
                            </w:rPr>
                            <w:t>1</w:t>
                          </w:r>
                          <w:r>
                            <w:rPr>
                              <w:rFonts w:ascii="Times New Roman" w:hAnsi="Times New Roman" w:eastAsia="宋体" w:cs="Times New Roman"/>
                              <w:kern w:val="2"/>
                              <w:sz w:val="18"/>
                              <w:szCs w:val="18"/>
                              <w:lang w:val="en-US" w:eastAsia="zh-CN" w:bidi="ar-S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14:paraId="3D1F58D6">
                    <w:pPr>
                      <w:widowControl w:val="0"/>
                      <w:tabs>
                        <w:tab w:val="center" w:pos="4153"/>
                        <w:tab w:val="right" w:pos="8306"/>
                      </w:tabs>
                      <w:snapToGrid w:val="0"/>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fldChar w:fldCharType="begin"/>
                    </w:r>
                    <w:r>
                      <w:rPr>
                        <w:rFonts w:ascii="Times New Roman" w:hAnsi="Times New Roman" w:eastAsia="宋体" w:cs="Times New Roman"/>
                        <w:kern w:val="2"/>
                        <w:sz w:val="18"/>
                        <w:szCs w:val="18"/>
                        <w:lang w:val="en-US" w:eastAsia="zh-CN" w:bidi="ar-SA"/>
                      </w:rPr>
                      <w:instrText xml:space="preserve"> PAGE  \* MERGEFORMAT </w:instrText>
                    </w:r>
                    <w:r>
                      <w:rPr>
                        <w:rFonts w:ascii="Times New Roman" w:hAnsi="Times New Roman" w:eastAsia="宋体" w:cs="Times New Roman"/>
                        <w:kern w:val="2"/>
                        <w:sz w:val="18"/>
                        <w:szCs w:val="18"/>
                        <w:lang w:val="en-US" w:eastAsia="zh-CN" w:bidi="ar-SA"/>
                      </w:rPr>
                      <w:fldChar w:fldCharType="separate"/>
                    </w:r>
                    <w:r>
                      <w:rPr>
                        <w:rFonts w:ascii="Times New Roman" w:hAnsi="Times New Roman" w:eastAsia="宋体" w:cs="Times New Roman"/>
                        <w:kern w:val="2"/>
                        <w:sz w:val="18"/>
                        <w:szCs w:val="18"/>
                        <w:lang w:val="en-US" w:eastAsia="zh-CN" w:bidi="ar-SA"/>
                      </w:rPr>
                      <w:t>1</w:t>
                    </w:r>
                    <w:r>
                      <w:rPr>
                        <w:rFonts w:ascii="Times New Roman" w:hAnsi="Times New Roman" w:eastAsia="宋体" w:cs="Times New Roman"/>
                        <w:kern w:val="2"/>
                        <w:sz w:val="18"/>
                        <w:szCs w:val="18"/>
                        <w:lang w:val="en-US" w:eastAsia="zh-CN" w:bidi="ar-S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171019">
    <w:pPr>
      <w:pBdr>
        <w:bottom w:val="single" w:color="auto" w:sz="4" w:space="0"/>
      </w:pBdr>
      <w:jc w:val="right"/>
      <w:rPr>
        <w:rFonts w:ascii="Times New Roman" w:hAnsi="Times New Roman" w:eastAsia="宋体" w:cs="Times New Roman"/>
      </w:rPr>
    </w:pPr>
    <w:r>
      <w:rPr>
        <w:rFonts w:hint="eastAsia" w:ascii="Times New Roman" w:hAnsi="Times New Roman" w:eastAsia="宋体" w:cs="Times New Roman"/>
        <w:lang w:eastAsia="zh-CN"/>
      </w:rPr>
      <w:t>安庆职业技术学院网络安全设备更新及维保项目</w:t>
    </w:r>
    <w:r>
      <w:rPr>
        <w:rFonts w:hint="eastAsia" w:ascii="Times New Roman" w:hAnsi="Times New Roman" w:eastAsia="宋体" w:cs="Times New Roman"/>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611808"/>
    <w:rsid w:val="056118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2024-12-03T10:34:00Z</dcterms:created>
  <dc:creator>WPS</dc:creator>
  <cp:lastModifiedBy>WPS</cp:lastModifiedBy>
  <dcterms:modified xsi:type="dcterms:W3CDTF">2024-12-03T10:34:59Z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57D9C0D9BB4A4FC582341FD967B8D7EF_11</vt:lpwstr>
  </property>
</Properties>
</file>