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2149B">
      <w:pPr>
        <w:pStyle w:val="2"/>
        <w:rPr>
          <w:rFonts w:ascii="宋体" w:hAnsi="宋体" w:cs="宋体"/>
          <w:color w:val="000000"/>
          <w:highlight w:val="none"/>
        </w:rPr>
      </w:pPr>
      <w:bookmarkStart w:id="0" w:name="_Toc32321"/>
      <w:bookmarkStart w:id="1" w:name="_Toc15203"/>
      <w:bookmarkStart w:id="2" w:name="_Toc18076"/>
      <w:r>
        <w:rPr>
          <w:rFonts w:hint="eastAsia" w:ascii="宋体" w:hAnsi="宋体" w:cs="宋体"/>
          <w:color w:val="000000"/>
          <w:highlight w:val="none"/>
        </w:rPr>
        <w:t>第三章</w:t>
      </w:r>
      <w:r>
        <w:rPr>
          <w:rFonts w:hint="eastAsia" w:ascii="宋体" w:hAnsi="宋体" w:cs="宋体"/>
          <w:color w:val="000000"/>
          <w:highlight w:val="none"/>
          <w:lang w:val="en-US" w:eastAsia="zh-CN"/>
        </w:rPr>
        <w:t xml:space="preserve"> </w:t>
      </w:r>
      <w:r>
        <w:rPr>
          <w:rFonts w:hint="eastAsia" w:ascii="宋体" w:hAnsi="宋体" w:cs="宋体"/>
          <w:color w:val="000000"/>
          <w:highlight w:val="none"/>
        </w:rPr>
        <w:t xml:space="preserve"> </w:t>
      </w:r>
      <w:r>
        <w:rPr>
          <w:rFonts w:hint="eastAsia" w:ascii="宋体" w:hAnsi="宋体" w:cs="宋体"/>
          <w:color w:val="000000"/>
          <w:highlight w:val="none"/>
          <w:lang w:val="en-US" w:eastAsia="zh-CN"/>
        </w:rPr>
        <w:t xml:space="preserve"> 货物</w:t>
      </w:r>
      <w:r>
        <w:rPr>
          <w:rFonts w:hint="eastAsia" w:ascii="宋体" w:hAnsi="宋体" w:cs="宋体"/>
          <w:color w:val="000000"/>
          <w:highlight w:val="none"/>
        </w:rPr>
        <w:t>需求及</w:t>
      </w:r>
      <w:r>
        <w:rPr>
          <w:rFonts w:hint="eastAsia" w:ascii="宋体" w:hAnsi="宋体" w:cs="宋体"/>
          <w:color w:val="000000"/>
          <w:highlight w:val="none"/>
          <w:lang w:val="en-US" w:eastAsia="zh-CN"/>
        </w:rPr>
        <w:t>技术</w:t>
      </w:r>
      <w:r>
        <w:rPr>
          <w:rFonts w:hint="eastAsia" w:ascii="宋体" w:hAnsi="宋体" w:cs="宋体"/>
          <w:color w:val="000000"/>
          <w:highlight w:val="none"/>
        </w:rPr>
        <w:t>要求</w:t>
      </w:r>
      <w:bookmarkEnd w:id="0"/>
      <w:bookmarkEnd w:id="1"/>
      <w:bookmarkEnd w:id="2"/>
    </w:p>
    <w:p w14:paraId="6B400D4A">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ascii="宋体" w:hAnsi="宋体"/>
          <w:b/>
          <w:bCs/>
          <w:color w:val="auto"/>
          <w:szCs w:val="21"/>
          <w:highlight w:val="none"/>
        </w:rPr>
      </w:pPr>
      <w:bookmarkStart w:id="3" w:name="_Toc7241"/>
      <w:bookmarkStart w:id="4" w:name="_Toc20302"/>
      <w:r>
        <w:rPr>
          <w:rFonts w:hint="eastAsia" w:ascii="宋体" w:hAnsi="宋体"/>
          <w:b/>
          <w:bCs/>
          <w:color w:val="auto"/>
          <w:szCs w:val="21"/>
          <w:highlight w:val="none"/>
        </w:rPr>
        <w:t>1、在采购活动开始前没有获准采购进口产品而开展采购活动的，视同为拒绝采购进口产品。</w:t>
      </w:r>
    </w:p>
    <w:p w14:paraId="4F892FBF">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ascii="宋体" w:hAnsi="宋体"/>
          <w:b/>
          <w:bCs/>
          <w:color w:val="auto"/>
          <w:szCs w:val="21"/>
          <w:highlight w:val="none"/>
        </w:rPr>
      </w:pPr>
      <w:r>
        <w:rPr>
          <w:rFonts w:hint="eastAsia" w:ascii="宋体" w:hAnsi="宋体"/>
          <w:b/>
          <w:bCs/>
          <w:color w:val="auto"/>
          <w:szCs w:val="21"/>
          <w:highlight w:val="none"/>
        </w:rPr>
        <w:t>2、根据“关于印发《政府采购进口产品管理办法》的通知”的相关规定：下列采购需求中标注进口产品的货物均已履行相关论证手续，经核准采购进口产品，但不限制满足</w:t>
      </w:r>
      <w:r>
        <w:rPr>
          <w:rFonts w:hint="eastAsia" w:ascii="宋体" w:hAnsi="宋体"/>
          <w:b/>
          <w:bCs/>
          <w:color w:val="auto"/>
          <w:szCs w:val="21"/>
          <w:highlight w:val="none"/>
          <w:lang w:val="en-US" w:eastAsia="zh-CN"/>
        </w:rPr>
        <w:t>竞争性</w:t>
      </w:r>
      <w:r>
        <w:rPr>
          <w:rFonts w:hint="eastAsia" w:ascii="宋体" w:hAnsi="宋体"/>
          <w:b/>
          <w:bCs/>
          <w:color w:val="auto"/>
          <w:szCs w:val="21"/>
          <w:highlight w:val="none"/>
          <w:lang w:eastAsia="zh-CN"/>
        </w:rPr>
        <w:t>谈判文件</w:t>
      </w:r>
      <w:r>
        <w:rPr>
          <w:rFonts w:hint="eastAsia" w:ascii="宋体" w:hAnsi="宋体"/>
          <w:b/>
          <w:bCs/>
          <w:color w:val="auto"/>
          <w:szCs w:val="21"/>
          <w:highlight w:val="none"/>
        </w:rPr>
        <w:t>要求的国内产品参与竞争。未标注进口产品的货物均为拒绝采购进口产品。</w:t>
      </w:r>
    </w:p>
    <w:p w14:paraId="2D64B827">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highlight w:val="none"/>
        </w:rPr>
      </w:pPr>
      <w:r>
        <w:rPr>
          <w:rFonts w:hint="eastAsia" w:ascii="宋体" w:hAnsi="宋体"/>
          <w:b/>
          <w:bCs/>
          <w:color w:val="auto"/>
          <w:szCs w:val="21"/>
          <w:highlight w:val="none"/>
        </w:rPr>
        <w:t>3、</w:t>
      </w:r>
      <w:r>
        <w:rPr>
          <w:rFonts w:hint="eastAsia" w:ascii="宋体" w:hAnsi="宋体"/>
          <w:b/>
          <w:bCs/>
          <w:color w:val="auto"/>
          <w:szCs w:val="21"/>
          <w:highlight w:val="none"/>
          <w:lang w:val="en-US" w:eastAsia="zh-CN"/>
        </w:rPr>
        <w:t>成交</w:t>
      </w:r>
      <w:r>
        <w:rPr>
          <w:rFonts w:hint="eastAsia" w:ascii="宋体" w:hAnsi="宋体"/>
          <w:b/>
          <w:bCs/>
          <w:color w:val="auto"/>
          <w:szCs w:val="21"/>
          <w:highlight w:val="none"/>
        </w:rPr>
        <w:t>人提供的货物为进口产品的，供货时须向采购人提供所投进口产品的海关报关单等证明材料。</w:t>
      </w:r>
    </w:p>
    <w:p w14:paraId="0A987D5F">
      <w:pPr>
        <w:ind w:firstLine="482" w:firstLineChars="200"/>
        <w:rPr>
          <w:rFonts w:hint="eastAsia" w:ascii="宋体" w:hAnsi="宋体"/>
          <w:b/>
          <w:bCs/>
          <w:color w:val="auto"/>
          <w:sz w:val="24"/>
          <w:szCs w:val="24"/>
          <w:highlight w:val="none"/>
        </w:rPr>
      </w:pPr>
    </w:p>
    <w:p w14:paraId="37A14BA7">
      <w:pPr>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一、商务要求：</w:t>
      </w:r>
    </w:p>
    <w:tbl>
      <w:tblPr>
        <w:tblStyle w:val="6"/>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077"/>
        <w:gridCol w:w="5658"/>
      </w:tblGrid>
      <w:tr w14:paraId="1F4A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3F5DF1AC">
            <w:pPr>
              <w:pStyle w:val="4"/>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2077" w:type="dxa"/>
            <w:vAlign w:val="center"/>
          </w:tcPr>
          <w:p w14:paraId="6A534558">
            <w:pPr>
              <w:pStyle w:val="4"/>
              <w:jc w:val="center"/>
              <w:rPr>
                <w:color w:val="auto"/>
                <w:highlight w:val="none"/>
              </w:rPr>
            </w:pPr>
            <w:r>
              <w:rPr>
                <w:rFonts w:hint="eastAsia" w:asciiTheme="minorEastAsia" w:hAnsiTheme="minorEastAsia"/>
                <w:b/>
                <w:bCs/>
                <w:color w:val="auto"/>
                <w:sz w:val="24"/>
                <w:szCs w:val="24"/>
                <w:highlight w:val="none"/>
              </w:rPr>
              <w:t>商务条款名称</w:t>
            </w:r>
          </w:p>
        </w:tc>
        <w:tc>
          <w:tcPr>
            <w:tcW w:w="5658" w:type="dxa"/>
            <w:vAlign w:val="center"/>
          </w:tcPr>
          <w:p w14:paraId="5DB43298">
            <w:pPr>
              <w:pStyle w:val="4"/>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具体要求内容</w:t>
            </w:r>
          </w:p>
        </w:tc>
      </w:tr>
      <w:tr w14:paraId="79B2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808" w:type="dxa"/>
            <w:vAlign w:val="center"/>
          </w:tcPr>
          <w:p w14:paraId="62FEAE9D">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2077" w:type="dxa"/>
            <w:vAlign w:val="center"/>
          </w:tcPr>
          <w:p w14:paraId="67FAD2E1">
            <w:pPr>
              <w:jc w:val="center"/>
              <w:rPr>
                <w:rFonts w:ascii="宋体" w:hAnsi="宋体"/>
                <w:color w:val="auto"/>
                <w:sz w:val="24"/>
                <w:highlight w:val="none"/>
              </w:rPr>
            </w:pPr>
            <w:r>
              <w:rPr>
                <w:rFonts w:asciiTheme="minorEastAsia" w:hAnsiTheme="minorEastAsia" w:eastAsiaTheme="minorEastAsia"/>
                <w:color w:val="auto"/>
                <w:sz w:val="24"/>
                <w:highlight w:val="none"/>
              </w:rPr>
              <w:t>付款方式</w:t>
            </w:r>
          </w:p>
        </w:tc>
        <w:tc>
          <w:tcPr>
            <w:tcW w:w="5658" w:type="dxa"/>
            <w:vAlign w:val="center"/>
          </w:tcPr>
          <w:p w14:paraId="46952A56">
            <w:pPr>
              <w:spacing w:line="360" w:lineRule="auto"/>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验收合格后一次性付清。</w:t>
            </w:r>
          </w:p>
        </w:tc>
      </w:tr>
      <w:tr w14:paraId="72C53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19222864">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2077" w:type="dxa"/>
            <w:vAlign w:val="center"/>
          </w:tcPr>
          <w:p w14:paraId="7057A6FB">
            <w:pPr>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供货及安装地点</w:t>
            </w:r>
          </w:p>
        </w:tc>
        <w:tc>
          <w:tcPr>
            <w:tcW w:w="5658" w:type="dxa"/>
            <w:shd w:val="clear" w:color="auto" w:fill="auto"/>
            <w:vAlign w:val="center"/>
          </w:tcPr>
          <w:p w14:paraId="0AC7391D">
            <w:pPr>
              <w:jc w:val="center"/>
              <w:rPr>
                <w:rFonts w:hint="default" w:asciiTheme="minorEastAsia" w:hAnsiTheme="minorEastAsia" w:eastAsiaTheme="minorEastAsia"/>
                <w:color w:val="auto"/>
                <w:sz w:val="24"/>
                <w:szCs w:val="24"/>
                <w:highlight w:val="none"/>
                <w:lang w:val="en-US" w:eastAsia="zh-CN"/>
              </w:rPr>
            </w:pPr>
            <w:r>
              <w:rPr>
                <w:rFonts w:hint="default" w:asciiTheme="minorEastAsia" w:hAnsiTheme="minorEastAsia" w:eastAsiaTheme="minorEastAsia"/>
                <w:color w:val="auto"/>
                <w:sz w:val="24"/>
                <w:szCs w:val="24"/>
                <w:highlight w:val="none"/>
                <w:lang w:val="en-US" w:eastAsia="zh-CN"/>
              </w:rPr>
              <w:t>安庆职业技术学院</w:t>
            </w:r>
          </w:p>
        </w:tc>
      </w:tr>
      <w:tr w14:paraId="5E78A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448BF459">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2077" w:type="dxa"/>
            <w:vAlign w:val="center"/>
          </w:tcPr>
          <w:p w14:paraId="148262B7">
            <w:pPr>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供货及安装期限</w:t>
            </w:r>
          </w:p>
        </w:tc>
        <w:tc>
          <w:tcPr>
            <w:tcW w:w="5658" w:type="dxa"/>
            <w:shd w:val="clear" w:color="auto" w:fill="auto"/>
            <w:vAlign w:val="center"/>
          </w:tcPr>
          <w:p w14:paraId="33A9858A">
            <w:pPr>
              <w:jc w:val="center"/>
              <w:rPr>
                <w:rFonts w:hint="default" w:asciiTheme="minorEastAsia" w:hAnsiTheme="minorEastAsia" w:eastAsiaTheme="minorEastAsia"/>
                <w:color w:val="auto"/>
                <w:sz w:val="24"/>
                <w:szCs w:val="24"/>
                <w:highlight w:val="none"/>
                <w:lang w:val="en-US" w:eastAsia="zh-CN"/>
              </w:rPr>
            </w:pPr>
            <w:r>
              <w:rPr>
                <w:rFonts w:hint="default" w:ascii="宋体" w:hAnsi="宋体" w:eastAsia="宋体" w:cs="宋体"/>
                <w:color w:val="000000"/>
                <w:sz w:val="24"/>
                <w:szCs w:val="24"/>
                <w:highlight w:val="none"/>
                <w:lang w:val="en-US" w:eastAsia="zh-CN"/>
              </w:rPr>
              <w:t>签订合同后的7个工作日内</w:t>
            </w:r>
          </w:p>
        </w:tc>
      </w:tr>
      <w:tr w14:paraId="2C9B4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808" w:type="dxa"/>
            <w:vAlign w:val="center"/>
          </w:tcPr>
          <w:p w14:paraId="772E4FD5">
            <w:pPr>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4</w:t>
            </w:r>
          </w:p>
        </w:tc>
        <w:tc>
          <w:tcPr>
            <w:tcW w:w="2077" w:type="dxa"/>
            <w:vAlign w:val="center"/>
          </w:tcPr>
          <w:p w14:paraId="03D9FF9B">
            <w:pPr>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免费质保期</w:t>
            </w:r>
          </w:p>
        </w:tc>
        <w:tc>
          <w:tcPr>
            <w:tcW w:w="5658" w:type="dxa"/>
            <w:vAlign w:val="center"/>
          </w:tcPr>
          <w:p w14:paraId="1549DB41">
            <w:pPr>
              <w:jc w:val="center"/>
              <w:rPr>
                <w:rFonts w:hint="default"/>
                <w:sz w:val="24"/>
                <w:szCs w:val="24"/>
                <w:highlight w:val="none"/>
                <w:lang w:val="en-US" w:eastAsia="zh-CN"/>
              </w:rPr>
            </w:pPr>
            <w:r>
              <w:rPr>
                <w:rFonts w:hint="default"/>
                <w:sz w:val="24"/>
                <w:szCs w:val="24"/>
                <w:highlight w:val="none"/>
                <w:lang w:val="en-US" w:eastAsia="zh-CN"/>
              </w:rPr>
              <w:t>1年，时间自最终验收合格并交付使用之日起计算。</w:t>
            </w:r>
          </w:p>
        </w:tc>
      </w:tr>
      <w:tr w14:paraId="3AB62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400CB468">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5</w:t>
            </w:r>
          </w:p>
        </w:tc>
        <w:tc>
          <w:tcPr>
            <w:tcW w:w="2077" w:type="dxa"/>
            <w:vAlign w:val="center"/>
          </w:tcPr>
          <w:p w14:paraId="07B37446">
            <w:pPr>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商品包装要求</w:t>
            </w:r>
          </w:p>
        </w:tc>
        <w:tc>
          <w:tcPr>
            <w:tcW w:w="5658" w:type="dxa"/>
            <w:vAlign w:val="center"/>
          </w:tcPr>
          <w:p w14:paraId="2911A289">
            <w:pPr>
              <w:jc w:val="center"/>
              <w:rPr>
                <w:rFonts w:asciiTheme="minorEastAsia" w:hAnsiTheme="minorEastAsia" w:eastAsiaTheme="minorEastAsia"/>
                <w:color w:val="auto"/>
                <w:sz w:val="24"/>
                <w:szCs w:val="24"/>
                <w:highlight w:val="none"/>
              </w:rPr>
            </w:pPr>
            <w:r>
              <w:rPr>
                <w:rFonts w:hint="default" w:ascii="sans-serif" w:hAnsi="sans-serif" w:eastAsia="sans-serif" w:cs="sans-serif"/>
                <w:color w:val="auto"/>
                <w:sz w:val="24"/>
                <w:szCs w:val="24"/>
                <w:highlight w:val="none"/>
              </w:rPr>
              <w:t>除另有约定外</w:t>
            </w:r>
            <w:r>
              <w:rPr>
                <w:rFonts w:hint="eastAsia" w:ascii="sans-serif" w:hAnsi="sans-serif" w:cs="sans-serif"/>
                <w:color w:val="auto"/>
                <w:sz w:val="24"/>
                <w:szCs w:val="24"/>
                <w:highlight w:val="none"/>
                <w:lang w:eastAsia="zh-CN"/>
              </w:rPr>
              <w:t>，</w:t>
            </w:r>
            <w:r>
              <w:rPr>
                <w:rFonts w:hint="default" w:ascii="sans-serif" w:hAnsi="sans-serif" w:eastAsia="sans-serif" w:cs="sans-serif"/>
                <w:color w:val="auto"/>
                <w:sz w:val="24"/>
                <w:szCs w:val="24"/>
                <w:highlight w:val="none"/>
              </w:rPr>
              <w:t>供应商交付全部货物的包装要求</w:t>
            </w:r>
            <w:r>
              <w:rPr>
                <w:rFonts w:ascii="宋体" w:hAnsi="宋体" w:eastAsia="宋体" w:cs="宋体"/>
                <w:color w:val="auto"/>
                <w:sz w:val="24"/>
                <w:szCs w:val="24"/>
                <w:highlight w:val="none"/>
              </w:rPr>
              <w:br w:type="textWrapping"/>
            </w:r>
            <w:r>
              <w:rPr>
                <w:rFonts w:hint="default" w:ascii="sans-serif" w:hAnsi="sans-serif" w:eastAsia="sans-serif" w:cs="sans-serif"/>
                <w:color w:val="auto"/>
                <w:sz w:val="24"/>
                <w:szCs w:val="24"/>
                <w:highlight w:val="none"/>
              </w:rPr>
              <w:t>严格按照国家强制标准执行。</w:t>
            </w:r>
          </w:p>
        </w:tc>
      </w:tr>
    </w:tbl>
    <w:p w14:paraId="4C1C1032">
      <w:pPr>
        <w:ind w:firstLine="422" w:firstLineChars="200"/>
        <w:rPr>
          <w:rFonts w:ascii="宋体" w:hAnsi="宋体"/>
          <w:b/>
          <w:bCs/>
          <w:color w:val="auto"/>
          <w:szCs w:val="21"/>
          <w:highlight w:val="none"/>
        </w:rPr>
      </w:pPr>
    </w:p>
    <w:p w14:paraId="451733A5">
      <w:pPr>
        <w:pStyle w:val="3"/>
        <w:tabs>
          <w:tab w:val="left" w:pos="2730"/>
        </w:tabs>
        <w:ind w:firstLine="472" w:firstLineChars="196"/>
        <w:rPr>
          <w:rFonts w:hAnsi="宋体"/>
          <w:bCs/>
          <w:color w:val="auto"/>
          <w:szCs w:val="24"/>
          <w:highlight w:val="none"/>
        </w:rPr>
      </w:pPr>
      <w:r>
        <w:rPr>
          <w:rFonts w:hint="eastAsia" w:hAnsi="宋体"/>
          <w:bCs/>
          <w:color w:val="auto"/>
          <w:szCs w:val="24"/>
          <w:highlight w:val="none"/>
        </w:rPr>
        <w:t>二、技术要求一览表</w:t>
      </w:r>
    </w:p>
    <w:tbl>
      <w:tblPr>
        <w:tblStyle w:val="6"/>
        <w:tblW w:w="8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193"/>
        <w:gridCol w:w="5135"/>
        <w:gridCol w:w="555"/>
        <w:gridCol w:w="540"/>
        <w:gridCol w:w="504"/>
      </w:tblGrid>
      <w:tr w14:paraId="129B7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2E3978B7">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193" w:type="dxa"/>
            <w:tcBorders>
              <w:top w:val="single" w:color="auto" w:sz="4" w:space="0"/>
              <w:left w:val="single" w:color="auto" w:sz="4" w:space="0"/>
              <w:bottom w:val="single" w:color="auto" w:sz="4" w:space="0"/>
              <w:right w:val="single" w:color="auto" w:sz="4" w:space="0"/>
            </w:tcBorders>
            <w:vAlign w:val="center"/>
          </w:tcPr>
          <w:p w14:paraId="0C99FE26">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货物名称</w:t>
            </w:r>
          </w:p>
        </w:tc>
        <w:tc>
          <w:tcPr>
            <w:tcW w:w="5135" w:type="dxa"/>
            <w:tcBorders>
              <w:top w:val="single" w:color="auto" w:sz="4" w:space="0"/>
              <w:left w:val="single" w:color="auto" w:sz="4" w:space="0"/>
              <w:bottom w:val="single" w:color="auto" w:sz="4" w:space="0"/>
              <w:right w:val="single" w:color="auto" w:sz="4" w:space="0"/>
            </w:tcBorders>
            <w:vAlign w:val="center"/>
          </w:tcPr>
          <w:p w14:paraId="18AF9AA1">
            <w:pPr>
              <w:widowControl/>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rPr>
              <w:t>技术参数</w:t>
            </w:r>
            <w:r>
              <w:rPr>
                <w:rFonts w:hint="eastAsia" w:ascii="宋体" w:hAnsi="宋体" w:eastAsia="宋体" w:cs="宋体"/>
                <w:b/>
                <w:bCs/>
                <w:color w:val="auto"/>
                <w:kern w:val="0"/>
                <w:sz w:val="21"/>
                <w:szCs w:val="21"/>
                <w:highlight w:val="none"/>
                <w:lang w:val="en-US" w:eastAsia="zh-CN"/>
              </w:rPr>
              <w:t>要求</w:t>
            </w:r>
          </w:p>
        </w:tc>
        <w:tc>
          <w:tcPr>
            <w:tcW w:w="555" w:type="dxa"/>
            <w:tcBorders>
              <w:top w:val="single" w:color="auto" w:sz="4" w:space="0"/>
              <w:left w:val="single" w:color="auto" w:sz="4" w:space="0"/>
              <w:bottom w:val="single" w:color="auto" w:sz="4" w:space="0"/>
              <w:right w:val="single" w:color="auto" w:sz="4" w:space="0"/>
            </w:tcBorders>
            <w:vAlign w:val="center"/>
          </w:tcPr>
          <w:p w14:paraId="2AA38786">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540" w:type="dxa"/>
            <w:tcBorders>
              <w:top w:val="single" w:color="auto" w:sz="4" w:space="0"/>
              <w:left w:val="single" w:color="auto" w:sz="4" w:space="0"/>
              <w:bottom w:val="single" w:color="auto" w:sz="4" w:space="0"/>
              <w:right w:val="single" w:color="auto" w:sz="4" w:space="0"/>
            </w:tcBorders>
            <w:vAlign w:val="center"/>
          </w:tcPr>
          <w:p w14:paraId="3DD484DD">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c>
          <w:tcPr>
            <w:tcW w:w="504" w:type="dxa"/>
            <w:tcBorders>
              <w:top w:val="single" w:color="auto" w:sz="4" w:space="0"/>
              <w:left w:val="single" w:color="auto" w:sz="4" w:space="0"/>
              <w:bottom w:val="single" w:color="auto" w:sz="4" w:space="0"/>
              <w:right w:val="single" w:color="auto" w:sz="4" w:space="0"/>
            </w:tcBorders>
            <w:vAlign w:val="center"/>
          </w:tcPr>
          <w:p w14:paraId="537BBA82">
            <w:pPr>
              <w:widowControl/>
              <w:jc w:val="center"/>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备注</w:t>
            </w:r>
          </w:p>
        </w:tc>
      </w:tr>
      <w:tr w14:paraId="4E9B0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4956D1CF">
            <w:pPr>
              <w:spacing w:line="440" w:lineRule="exact"/>
              <w:jc w:val="center"/>
              <w:rPr>
                <w:rFonts w:hint="eastAsia" w:ascii="宋体" w:hAnsi="宋体" w:eastAsia="宋体" w:cs="宋体"/>
                <w:kern w:val="2"/>
                <w:sz w:val="21"/>
                <w:szCs w:val="24"/>
                <w:highlight w:val="none"/>
                <w:vertAlign w:val="baseline"/>
                <w:lang w:val="en-US" w:eastAsia="zh-CN" w:bidi="ar-SA"/>
              </w:rPr>
            </w:pPr>
            <w:r>
              <w:rPr>
                <w:rFonts w:hint="eastAsia" w:ascii="宋体" w:hAnsi="宋体" w:eastAsia="宋体" w:cs="宋体"/>
                <w:highlight w:val="none"/>
                <w:vertAlign w:val="baseline"/>
                <w:lang w:val="en-US" w:eastAsia="zh-CN"/>
              </w:rPr>
              <w:t>1</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14:paraId="197791EC">
            <w:pPr>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rPr>
              <w:t>土建算量软件</w:t>
            </w:r>
          </w:p>
        </w:tc>
        <w:tc>
          <w:tcPr>
            <w:tcW w:w="5135" w:type="dxa"/>
            <w:tcBorders>
              <w:top w:val="single" w:color="auto" w:sz="4" w:space="0"/>
              <w:left w:val="single" w:color="auto" w:sz="4" w:space="0"/>
              <w:bottom w:val="single" w:color="auto" w:sz="4" w:space="0"/>
              <w:right w:val="single" w:color="auto" w:sz="4" w:space="0"/>
            </w:tcBorders>
            <w:shd w:val="clear" w:color="auto" w:fill="auto"/>
            <w:vAlign w:val="center"/>
          </w:tcPr>
          <w:p w14:paraId="1697FCB6">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1.软件内置国家清单计量规范、全国各地清单、定额计算规则，内置22G、16G、11G系列平法图集规则及常用施工做法，能够同时计算钢筋和土建工程量。</w:t>
            </w:r>
          </w:p>
          <w:p w14:paraId="7EC82B86">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2.能够依据图纸设计要求在任意构件上绘制钢筋、布置钢筋网片，实现BIM模式的钢筋建模。</w:t>
            </w:r>
          </w:p>
          <w:p w14:paraId="123DEF32">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 xml:space="preserve">3.节点设置能够在参数图上直接修改信息，无需对应表格输入。 </w:t>
            </w:r>
          </w:p>
          <w:p w14:paraId="3F82EF43">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 xml:space="preserve">4.能够计算立面脚手架及平面脚手架子工程量；支持智能布置，生成脚手架等快速布置，可单独布置，不依附与其他构件。 </w:t>
            </w:r>
          </w:p>
          <w:p w14:paraId="0F3C3F30">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5.柱墙梁等构件能够自动与板顶、板底平齐，可选择自动平齐板，与指定平齐板。</w:t>
            </w:r>
          </w:p>
          <w:p w14:paraId="11B16697">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 xml:space="preserve">6.可对已绘制的构件进项存盘，方便下次调用，可存盘构建做法。 </w:t>
            </w:r>
          </w:p>
          <w:p w14:paraId="4D01155E">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7.能够通过钢筋编辑、查看构件钢筋计算式等功能，查看钢筋三维构造图，查看模型三维扣减图。</w:t>
            </w:r>
          </w:p>
          <w:p w14:paraId="7055437B">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8.构件绘制完成无需汇总计算即可查看构件工程量,建模即出量，实时生成报表量。</w:t>
            </w:r>
          </w:p>
          <w:p w14:paraId="1388488E">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9.能够通过检查功能对工程的合理性、建模遗漏、属性合理性、建模合理性进行检查；并输出确定错误、疑似错误、提醒三类结果。能够逐条检查和确认，双击直接定位错误构建；部分错误可以手动或自动修复。</w:t>
            </w:r>
          </w:p>
          <w:p w14:paraId="5D83EB35">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 xml:space="preserve">10.能够通过云对比功能对钢筋、土建工程量进行对比，通过构件类型筛选，过滤、排序等辅助查找，快速定位问题图元呈现工程差异。可查看两个对量工程的工程概况、工程设置差异、工程量差异、模型差异、量差原因分析等报表，一目了然呈现两个工程的差异概况。 </w:t>
            </w:r>
          </w:p>
          <w:p w14:paraId="76A8650F">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11.提供整个工程指标汇总、钢筋、混凝土、模板、装修及其他几类指标报表；可以通过设置预警值或导入指标方式，校核当前工程指标偏差；可以导入云端指标模板，按自定义或不同维度输出工程指标；软件提供定制指标模板，可以按企业统筹指标等基础数据积累。</w:t>
            </w:r>
          </w:p>
          <w:p w14:paraId="214C5980">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 xml:space="preserve">12.算量软件与计价软件能够数据互通，实现一键提量，并能同步刷新工程量，实现量价实时更新。能够从计价文件反查到算量模型工程量构成，并且能够定位到算量模型;  </w:t>
            </w:r>
          </w:p>
          <w:p w14:paraId="606A6CAD">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13.软件配套正规出版社出版的教材（教材具有ISBN编号）教材中有对应软件的操作步骤和相应软件界面截图，帮助学习软件。</w:t>
            </w:r>
          </w:p>
          <w:p w14:paraId="30A5CFD7">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15.投标所有产品必须为同一厂商生成，方便教学。</w:t>
            </w:r>
          </w:p>
          <w:p w14:paraId="129968BD">
            <w:pPr>
              <w:jc w:val="both"/>
              <w:rPr>
                <w:rFonts w:hint="default"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rPr>
              <w:t>配套：土建计量平台评分软件（一个节点单机版）</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07162777">
            <w:pPr>
              <w:widowControl/>
              <w:jc w:val="center"/>
              <w:rPr>
                <w:rFonts w:hint="default"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rPr>
              <w:t>节点</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677F7B6C">
            <w:pPr>
              <w:widowControl/>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rPr>
              <w:t>50</w:t>
            </w:r>
          </w:p>
        </w:tc>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14:paraId="120EEF3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r>
      <w:tr w14:paraId="4A23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71AE5E4F">
            <w:pPr>
              <w:spacing w:line="440" w:lineRule="exact"/>
              <w:jc w:val="center"/>
              <w:rPr>
                <w:rFonts w:hint="eastAsia" w:ascii="宋体" w:hAnsi="宋体" w:eastAsia="宋体" w:cs="宋体"/>
                <w:kern w:val="2"/>
                <w:sz w:val="21"/>
                <w:szCs w:val="24"/>
                <w:highlight w:val="none"/>
                <w:vertAlign w:val="baseline"/>
                <w:lang w:val="en-US" w:eastAsia="zh-CN" w:bidi="ar-SA"/>
              </w:rPr>
            </w:pPr>
            <w:r>
              <w:rPr>
                <w:rFonts w:hint="eastAsia" w:ascii="宋体" w:hAnsi="宋体" w:cs="宋体"/>
                <w:highlight w:val="none"/>
                <w:vertAlign w:val="baseline"/>
                <w:lang w:val="en-US" w:eastAsia="zh-CN"/>
              </w:rPr>
              <w:t>2</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14:paraId="57428A79">
            <w:pPr>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安装工程算量</w:t>
            </w:r>
          </w:p>
          <w:p w14:paraId="5BF97884">
            <w:pPr>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rPr>
              <w:t>软件</w:t>
            </w:r>
          </w:p>
        </w:tc>
        <w:tc>
          <w:tcPr>
            <w:tcW w:w="5135" w:type="dxa"/>
            <w:tcBorders>
              <w:top w:val="single" w:color="auto" w:sz="4" w:space="0"/>
              <w:left w:val="single" w:color="auto" w:sz="4" w:space="0"/>
              <w:bottom w:val="single" w:color="auto" w:sz="4" w:space="0"/>
              <w:right w:val="single" w:color="auto" w:sz="4" w:space="0"/>
            </w:tcBorders>
            <w:shd w:val="clear" w:color="auto" w:fill="auto"/>
            <w:vAlign w:val="center"/>
          </w:tcPr>
          <w:p w14:paraId="5C76AB83">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1、采用自主开发平台，不依附于任何其他技术平台，避免知识产权纠纷。</w:t>
            </w:r>
          </w:p>
          <w:p w14:paraId="3DB3986C">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2、应具有多维度检查工程量，漏量检查.漏项检查.碰撞检查.属性检查.设计规范检查多种检查功能。</w:t>
            </w:r>
          </w:p>
          <w:p w14:paraId="43D07E4F">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3、应兼容市场上多种电子版图纸，包括CAD、REVIT等BIM模型、PDF、图片等；</w:t>
            </w:r>
          </w:p>
          <w:p w14:paraId="7C4114CD">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4、能够一键全部自动套用清单项和定额项，并且能够使用外部清单，一键全部自动套用清单和一键全部自动套用定额的功能。</w:t>
            </w:r>
          </w:p>
          <w:p w14:paraId="3D959ECF">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5、能够按照图纸的要求在不同的专业系统中设置管道的刷油类型、保温材质、保温厚度、保温层材质、设备的安装高度和规格型号等。</w:t>
            </w:r>
          </w:p>
          <w:p w14:paraId="5EFE97DC">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6、能够根据当地的定额要求，自动设置计算规则，并且支持规则的导入和导出。</w:t>
            </w:r>
          </w:p>
          <w:p w14:paraId="10B43181">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7、能够对各专业个数一键识别，电气管线多回路识别、给排水管道自动识别、通风管道按系统编号识别、喷淋管道按喷头个数识别等智能化识别方式。</w:t>
            </w:r>
          </w:p>
          <w:p w14:paraId="7E7F86B0">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8、设备和材料支持三维实体模型的下载和导入，支持云储存和云输入功能并能够根据实际工程情况，对其规格型号进行设置，分别支持电气.给排水.采暖燃气.消防.通风空调.工业管道等7大专业，实体模型数量不少于300个。</w:t>
            </w:r>
          </w:p>
          <w:p w14:paraId="195A21E0">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9、支持工程分开算量或者统一工程不同专业分开算量的情况，通过模型合并，可以将多个工程模型进行合并，并且支持局部合并模型。</w:t>
            </w:r>
          </w:p>
          <w:p w14:paraId="78AF140A">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能够支持导入土建模型，并对导入的模型进行管理，与安装相关专业的模型进行合并，并能够根据施工现场情况进行运行碰撞检查，自由的避让设置，生成孔洞，可根据碰撞点反查构件位置，支持剖面图的绘制和剖面管理。</w:t>
            </w:r>
          </w:p>
          <w:p w14:paraId="5C4975EA">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11、能够在同一软件中一键切换7大专业工程量计算；（电气.给排水.消防.采暖燃气.通风空调.智控弱电和工业管道）</w:t>
            </w:r>
          </w:p>
          <w:p w14:paraId="535F8063">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12、BIM安装计量的工程文件可直接导入BIM项目管理系统，进行项目施工管理，导入计价软件中进行安装计价。</w:t>
            </w:r>
          </w:p>
          <w:p w14:paraId="4BF79350">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13、能够支持多种算量模式，既可用于手算二维计算，也可采用三维模型进行工程量的计算。</w:t>
            </w:r>
          </w:p>
          <w:p w14:paraId="0AFB98A6">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14、支持工业管道工程量的计算，包括管道.管件.阀门法兰等，区分不同连接方式.压力等级.介质等。</w:t>
            </w:r>
          </w:p>
          <w:p w14:paraId="0BAAF591">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15、工程量灵活化统计，满足不同时期、不同阶段的出量需求，支持过程实时查看，包括图元查量、分类查看工程量、报表等出量方式；报表计算过程可追溯，就像手算草稿一样，而且每个结算结果都可以和图元对应，方便查量核量。</w:t>
            </w:r>
          </w:p>
          <w:p w14:paraId="18A7BB2B">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16、内设专业化计算规则，包括国标GB 50856-2013清单规范、地区定额计算规则、各专业相关规范等，实现预留自动计算，能对分地上地下工程量进行设置，套管、孔洞、阻火圈、穿刺线夹、接线盒等自动生成，并可以随实际工程出量，并且规则支持导入导出，进行内部共享。</w:t>
            </w:r>
          </w:p>
          <w:p w14:paraId="1719059C">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17、软件内置支吊架国家规范标准，《GB50242-2002》. 《GB50243-2016》. 《GB50261-2017》，能根据不同的管道材质和规格自动进行水平管和立管支吊架的间距设置。</w:t>
            </w:r>
          </w:p>
          <w:p w14:paraId="1310B18F">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18、具有云科技应用，云储存、云输入、云构件库、云模型浏览和云模型下载等功能，方便构件重复利用和多方协同工作，支持本地应用和云端下载。</w:t>
            </w:r>
          </w:p>
          <w:p w14:paraId="1F4F57B0">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19、具有配电系统树功能，快速建立平面图与系统图对照关系，监督和核查各个回路信息及布置情况。</w:t>
            </w:r>
          </w:p>
          <w:p w14:paraId="7B18FB30">
            <w:pPr>
              <w:jc w:val="both"/>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rPr>
              <w:t xml:space="preserve">配套：安装计量评分软件（一个节点单机版） </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539B4175">
            <w:pPr>
              <w:widowControl/>
              <w:jc w:val="center"/>
              <w:rPr>
                <w:rFonts w:hint="default"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rPr>
              <w:t>节点</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84F68FF">
            <w:pPr>
              <w:widowControl/>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rPr>
              <w:t>50</w:t>
            </w:r>
          </w:p>
        </w:tc>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14:paraId="0CF3933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r>
      <w:tr w14:paraId="0992F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48" w:type="dxa"/>
            <w:tcBorders>
              <w:top w:val="single" w:color="auto" w:sz="4" w:space="0"/>
              <w:left w:val="single" w:color="auto" w:sz="4" w:space="0"/>
              <w:bottom w:val="single" w:color="auto" w:sz="4" w:space="0"/>
              <w:right w:val="single" w:color="auto" w:sz="4" w:space="0"/>
            </w:tcBorders>
            <w:shd w:val="clear" w:color="auto" w:fill="auto"/>
            <w:vAlign w:val="center"/>
          </w:tcPr>
          <w:p w14:paraId="6B784E59">
            <w:pPr>
              <w:spacing w:line="440" w:lineRule="exact"/>
              <w:jc w:val="center"/>
              <w:rPr>
                <w:rFonts w:hint="default" w:ascii="宋体" w:hAnsi="宋体" w:cs="宋体"/>
                <w:highlight w:val="none"/>
                <w:vertAlign w:val="baseline"/>
                <w:lang w:val="en-US" w:eastAsia="zh-CN"/>
              </w:rPr>
            </w:pPr>
            <w:r>
              <w:rPr>
                <w:rFonts w:hint="eastAsia" w:ascii="宋体" w:hAnsi="宋体" w:cs="宋体"/>
                <w:highlight w:val="none"/>
                <w:vertAlign w:val="baseline"/>
                <w:lang w:val="en-US" w:eastAsia="zh-CN"/>
              </w:rPr>
              <w:t>3</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14:paraId="6F173C83">
            <w:pPr>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rPr>
              <w:t>云计价平台软件</w:t>
            </w:r>
          </w:p>
        </w:tc>
        <w:tc>
          <w:tcPr>
            <w:tcW w:w="5135" w:type="dxa"/>
            <w:tcBorders>
              <w:top w:val="single" w:color="auto" w:sz="4" w:space="0"/>
              <w:left w:val="single" w:color="auto" w:sz="4" w:space="0"/>
              <w:bottom w:val="single" w:color="auto" w:sz="4" w:space="0"/>
              <w:right w:val="single" w:color="auto" w:sz="4" w:space="0"/>
            </w:tcBorders>
            <w:shd w:val="clear" w:color="auto" w:fill="auto"/>
            <w:vAlign w:val="center"/>
          </w:tcPr>
          <w:p w14:paraId="4AD64CED">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 内置当地最新行业清单计算规则；</w:t>
            </w:r>
          </w:p>
          <w:p w14:paraId="331A2FEE">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 xml:space="preserve">2. 能够进行清单计价、定额计价两种计价模式； </w:t>
            </w:r>
          </w:p>
          <w:p w14:paraId="006E9BBB">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 xml:space="preserve">3. 承接BIM成本信息，实现数据在BIM应用中直接提取应用； </w:t>
            </w:r>
          </w:p>
          <w:p w14:paraId="3AC9DA78">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4. 生成符合接口标准的招标、招标控制价，支持各地区的电子招投标和网络评标系统。</w:t>
            </w:r>
          </w:p>
          <w:p w14:paraId="31EA825F">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 xml:space="preserve">5. 软件支持快速组价的功能，实现将相同专业的清单项以及组价统一调整，用于群体项目的快速组价。  </w:t>
            </w:r>
          </w:p>
          <w:p w14:paraId="60E2A4B1">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 xml:space="preserve">6. 软件应涵盖云存档，便于存储工程文件及工程数据形成个人数据库，能够通过积累的个人、行业数据库进行提取复用，检查计价文件的正确性。 </w:t>
            </w:r>
          </w:p>
          <w:p w14:paraId="5F181BD6">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7.软件打开界面，涵盖概算、预算、结算、审核等不同模块。</w:t>
            </w:r>
          </w:p>
          <w:p w14:paraId="720DA01B">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8.可查看单位工程对应造价分析数据。</w:t>
            </w:r>
          </w:p>
          <w:p w14:paraId="568CDBCB">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9.可以对工程进行指标分析，输出工程指标。</w:t>
            </w:r>
          </w:p>
          <w:p w14:paraId="570A9340">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 xml:space="preserve">10.同一厂家的计价软件和计量软件无缝连接，在计价软件中能一键提取模型工程量，模型发生更改后，可一键刷新计价软件中对应的工程量。 </w:t>
            </w:r>
          </w:p>
          <w:p w14:paraId="4100D46F">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11.能在计价软件中反查图形工程量的来源。</w:t>
            </w:r>
          </w:p>
          <w:p w14:paraId="5CD71E11">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12.可将招投标计价文件直接转为结算计价文件。</w:t>
            </w:r>
          </w:p>
          <w:p w14:paraId="53436DCE">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13.提供合同金额、结算金额等多样式多维度的报表，方便应用，无需自己excel制表。</w:t>
            </w:r>
          </w:p>
          <w:p w14:paraId="0A6A40EE">
            <w:pPr>
              <w:jc w:val="both"/>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 xml:space="preserve">14.能够将送审和审核进行对比，审核过程中对于清单、定额、费用汇总增、删改进行颜色标识；同时工程量差及增减金额自动计算，且可看到变化原因。  </w:t>
            </w:r>
          </w:p>
          <w:p w14:paraId="7EDF5D9A">
            <w:pPr>
              <w:jc w:val="both"/>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rPr>
              <w:t>15.提供满足实训教学的案例资源、图纸资源、教学视频、授课课件、教学指南等课程配套资源，课件、视频要求包含预算、结算、审核三个阶段的内容。</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54EDFF01">
            <w:pPr>
              <w:widowControl/>
              <w:jc w:val="center"/>
              <w:rPr>
                <w:rFonts w:hint="default"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rPr>
              <w:t>节点</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1F08F98C">
            <w:pPr>
              <w:widowControl/>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rPr>
              <w:t>50</w:t>
            </w:r>
          </w:p>
        </w:tc>
        <w:tc>
          <w:tcPr>
            <w:tcW w:w="504" w:type="dxa"/>
            <w:tcBorders>
              <w:top w:val="single" w:color="auto" w:sz="4" w:space="0"/>
              <w:left w:val="single" w:color="auto" w:sz="4" w:space="0"/>
              <w:bottom w:val="single" w:color="auto" w:sz="4" w:space="0"/>
              <w:right w:val="single" w:color="auto" w:sz="4" w:space="0"/>
            </w:tcBorders>
            <w:shd w:val="clear" w:color="auto" w:fill="auto"/>
            <w:vAlign w:val="center"/>
          </w:tcPr>
          <w:p w14:paraId="6188CC3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r>
      <w:tr w14:paraId="6EC6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7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4C9F87C">
            <w:pPr>
              <w:pageBreakBefore w:val="0"/>
              <w:widowControl/>
              <w:kinsoku/>
              <w:overflowPunct/>
              <w:topLinePunct w:val="0"/>
              <w:bidi w:val="0"/>
              <w:snapToGrid/>
              <w:spacing w:line="440" w:lineRule="exact"/>
              <w:jc w:val="left"/>
              <w:textAlignment w:val="auto"/>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2"/>
                <w:sz w:val="21"/>
                <w:szCs w:val="21"/>
                <w:u w:val="none"/>
                <w:lang w:val="en-US" w:eastAsia="zh-CN" w:bidi="ar-SA"/>
              </w:rPr>
              <w:t xml:space="preserve">说明： </w:t>
            </w:r>
          </w:p>
          <w:p w14:paraId="69CF9570">
            <w:pPr>
              <w:pageBreakBefore w:val="0"/>
              <w:widowControl/>
              <w:kinsoku/>
              <w:overflowPunct/>
              <w:topLinePunct w:val="0"/>
              <w:bidi w:val="0"/>
              <w:snapToGrid/>
              <w:spacing w:line="440" w:lineRule="exact"/>
              <w:jc w:val="left"/>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1</w:t>
            </w:r>
            <w:r>
              <w:rPr>
                <w:rFonts w:hint="eastAsia" w:ascii="宋体" w:hAnsi="宋体" w:eastAsia="宋体" w:cs="宋体"/>
                <w:i w:val="0"/>
                <w:iCs w:val="0"/>
                <w:color w:val="000000"/>
                <w:kern w:val="2"/>
                <w:sz w:val="21"/>
                <w:szCs w:val="21"/>
                <w:u w:val="none"/>
                <w:lang w:val="en-US" w:eastAsia="zh-CN" w:bidi="ar-SA"/>
              </w:rPr>
              <w:t>、响应人的响应文件必须标明所投货物的</w:t>
            </w:r>
            <w:r>
              <w:rPr>
                <w:rFonts w:hint="eastAsia" w:ascii="宋体" w:hAnsi="宋体"/>
                <w:color w:val="auto"/>
                <w:szCs w:val="21"/>
                <w:highlight w:val="none"/>
              </w:rPr>
              <w:t>品牌与参数，保证原厂正品供货</w:t>
            </w:r>
            <w:r>
              <w:rPr>
                <w:rFonts w:hint="eastAsia" w:ascii="宋体" w:hAnsi="宋体" w:eastAsia="宋体" w:cs="宋体"/>
                <w:b w:val="0"/>
                <w:bCs w:val="0"/>
                <w:i w:val="0"/>
                <w:iCs w:val="0"/>
                <w:color w:val="000000"/>
                <w:kern w:val="2"/>
                <w:sz w:val="21"/>
                <w:szCs w:val="21"/>
                <w:u w:val="none"/>
                <w:lang w:val="en-US" w:eastAsia="zh-CN" w:bidi="ar-SA"/>
              </w:rPr>
              <w:t>。</w:t>
            </w:r>
            <w:r>
              <w:rPr>
                <w:rFonts w:hint="eastAsia" w:ascii="宋体" w:hAnsi="宋体" w:eastAsia="宋体" w:cs="宋体"/>
                <w:b/>
                <w:bCs/>
                <w:i w:val="0"/>
                <w:iCs w:val="0"/>
                <w:color w:val="000000"/>
                <w:kern w:val="2"/>
                <w:sz w:val="21"/>
                <w:szCs w:val="21"/>
                <w:u w:val="none"/>
                <w:lang w:val="en-US" w:eastAsia="zh-CN" w:bidi="ar-SA"/>
              </w:rPr>
              <w:t xml:space="preserve"> </w:t>
            </w:r>
          </w:p>
          <w:p w14:paraId="1ED8970E">
            <w:pPr>
              <w:pageBreakBefore w:val="0"/>
              <w:widowControl/>
              <w:kinsoku/>
              <w:overflowPunct/>
              <w:topLinePunct w:val="0"/>
              <w:bidi w:val="0"/>
              <w:snapToGrid/>
              <w:spacing w:line="440" w:lineRule="exact"/>
              <w:jc w:val="left"/>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2</w:t>
            </w:r>
            <w:r>
              <w:rPr>
                <w:rFonts w:hint="eastAsia" w:ascii="宋体" w:hAnsi="宋体" w:eastAsia="宋体" w:cs="宋体"/>
                <w:i w:val="0"/>
                <w:iCs w:val="0"/>
                <w:color w:val="000000"/>
                <w:kern w:val="2"/>
                <w:sz w:val="21"/>
                <w:szCs w:val="21"/>
                <w:u w:val="none"/>
                <w:lang w:val="en-US" w:eastAsia="zh-CN" w:bidi="ar-SA"/>
              </w:rPr>
              <w:t xml:space="preserve">、所有技术参数及要求采购人验收时将逐条核对，如发现与实际情况不符、虚假响应等，采购人有权报监管部门并追究违约责任。 </w:t>
            </w:r>
          </w:p>
          <w:p w14:paraId="2447F27C">
            <w:pPr>
              <w:pageBreakBefore w:val="0"/>
              <w:widowControl/>
              <w:kinsoku/>
              <w:overflowPunct/>
              <w:topLinePunct w:val="0"/>
              <w:bidi w:val="0"/>
              <w:snapToGrid/>
              <w:spacing w:line="440" w:lineRule="exact"/>
              <w:jc w:val="left"/>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3</w:t>
            </w:r>
            <w:r>
              <w:rPr>
                <w:rFonts w:hint="eastAsia" w:ascii="宋体" w:hAnsi="宋体" w:eastAsia="宋体" w:cs="宋体"/>
                <w:i w:val="0"/>
                <w:iCs w:val="0"/>
                <w:color w:val="000000"/>
                <w:kern w:val="2"/>
                <w:sz w:val="21"/>
                <w:szCs w:val="21"/>
                <w:u w:val="none"/>
                <w:lang w:val="en-US" w:eastAsia="zh-CN" w:bidi="ar-SA"/>
              </w:rPr>
              <w:t xml:space="preserve">、响应人应按照谈判文件要求提供证明材料。若响应人提供了竞争性谈判文件未要求的证明材料，谈判小组将不予评审。 </w:t>
            </w:r>
          </w:p>
          <w:p w14:paraId="3C3A1BEB">
            <w:pPr>
              <w:pageBreakBefore w:val="0"/>
              <w:widowControl/>
              <w:kinsoku/>
              <w:overflowPunct/>
              <w:topLinePunct w:val="0"/>
              <w:bidi w:val="0"/>
              <w:snapToGrid/>
              <w:spacing w:line="440" w:lineRule="exact"/>
              <w:jc w:val="left"/>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4</w:t>
            </w:r>
            <w:r>
              <w:rPr>
                <w:rFonts w:hint="eastAsia" w:ascii="宋体" w:hAnsi="宋体" w:eastAsia="宋体" w:cs="宋体"/>
                <w:i w:val="0"/>
                <w:iCs w:val="0"/>
                <w:color w:val="000000"/>
                <w:kern w:val="2"/>
                <w:sz w:val="21"/>
                <w:szCs w:val="21"/>
                <w:u w:val="none"/>
                <w:lang w:val="en-US" w:eastAsia="zh-CN" w:bidi="ar-SA"/>
              </w:rPr>
              <w:t>、响应人提供的证明材料须清晰地反映评审内容，如因材料模糊不清，导致谈判小组无法辨认的，谈判小组可以不予认可，一切后果由响应人自行承担。</w:t>
            </w:r>
          </w:p>
        </w:tc>
      </w:tr>
      <w:bookmarkEnd w:id="3"/>
      <w:bookmarkEnd w:id="4"/>
    </w:tbl>
    <w:p w14:paraId="2300872A">
      <w:pPr>
        <w:pStyle w:val="3"/>
        <w:tabs>
          <w:tab w:val="left" w:pos="2730"/>
        </w:tabs>
        <w:ind w:firstLine="472" w:firstLineChars="196"/>
        <w:rPr>
          <w:color w:val="auto"/>
          <w:highlight w:val="none"/>
        </w:rPr>
      </w:pPr>
      <w:r>
        <w:rPr>
          <w:rFonts w:hint="eastAsia"/>
          <w:color w:val="auto"/>
          <w:highlight w:val="none"/>
        </w:rPr>
        <w:t>三、人员培训要求</w:t>
      </w:r>
    </w:p>
    <w:p w14:paraId="2CCF6DC3">
      <w:pPr>
        <w:pageBreakBefore w:val="0"/>
        <w:widowControl/>
        <w:kinsoku/>
        <w:overflowPunct/>
        <w:topLinePunct w:val="0"/>
        <w:bidi w:val="0"/>
        <w:snapToGrid/>
        <w:spacing w:line="440" w:lineRule="exact"/>
        <w:jc w:val="left"/>
        <w:textAlignment w:val="auto"/>
        <w:rPr>
          <w:rFonts w:ascii="宋体" w:hAnsi="宋体"/>
          <w:color w:val="auto"/>
          <w:szCs w:val="21"/>
          <w:highlight w:val="none"/>
        </w:rPr>
      </w:pPr>
      <w:r>
        <w:rPr>
          <w:rFonts w:hint="eastAsia" w:ascii="宋体" w:hAnsi="宋体"/>
          <w:color w:val="auto"/>
          <w:szCs w:val="21"/>
          <w:highlight w:val="none"/>
        </w:rPr>
        <w:t xml:space="preserve">    货物安装、调试、验收合格后，</w:t>
      </w:r>
      <w:r>
        <w:rPr>
          <w:rFonts w:hint="eastAsia" w:ascii="宋体" w:hAnsi="宋体"/>
          <w:color w:val="auto"/>
          <w:szCs w:val="21"/>
          <w:highlight w:val="none"/>
          <w:lang w:val="en-US" w:eastAsia="zh-CN"/>
        </w:rPr>
        <w:t>成交人</w:t>
      </w:r>
      <w:r>
        <w:rPr>
          <w:rFonts w:hint="eastAsia" w:ascii="宋体" w:hAnsi="宋体"/>
          <w:color w:val="auto"/>
          <w:szCs w:val="21"/>
          <w:highlight w:val="none"/>
        </w:rPr>
        <w:t>应对采购人的相关人员进行免费现场培训。培训内容包括基本操作、保养维修、常见故障及解决办法等。</w:t>
      </w:r>
    </w:p>
    <w:p w14:paraId="485B46D1">
      <w:pPr>
        <w:pStyle w:val="3"/>
        <w:pageBreakBefore w:val="0"/>
        <w:tabs>
          <w:tab w:val="left" w:pos="2730"/>
        </w:tabs>
        <w:kinsoku/>
        <w:overflowPunct/>
        <w:topLinePunct w:val="0"/>
        <w:bidi w:val="0"/>
        <w:snapToGrid/>
        <w:spacing w:line="440" w:lineRule="exact"/>
        <w:ind w:firstLine="472" w:firstLineChars="196"/>
        <w:textAlignment w:val="auto"/>
        <w:rPr>
          <w:color w:val="auto"/>
          <w:highlight w:val="none"/>
        </w:rPr>
      </w:pPr>
      <w:r>
        <w:rPr>
          <w:rFonts w:hint="eastAsia"/>
          <w:color w:val="auto"/>
          <w:highlight w:val="none"/>
        </w:rPr>
        <w:t>四、货物质量及售后服务要求</w:t>
      </w:r>
    </w:p>
    <w:p w14:paraId="5E10F43D">
      <w:pPr>
        <w:pageBreakBefore w:val="0"/>
        <w:widowControl/>
        <w:kinsoku/>
        <w:overflowPunct/>
        <w:topLinePunct w:val="0"/>
        <w:bidi w:val="0"/>
        <w:snapToGrid/>
        <w:spacing w:line="440" w:lineRule="exact"/>
        <w:jc w:val="left"/>
        <w:textAlignment w:val="auto"/>
        <w:rPr>
          <w:rFonts w:ascii="宋体" w:hAnsi="宋体"/>
          <w:color w:val="auto"/>
          <w:szCs w:val="21"/>
          <w:highlight w:val="none"/>
        </w:rPr>
      </w:pPr>
      <w:r>
        <w:rPr>
          <w:rFonts w:hint="eastAsia" w:ascii="宋体" w:hAnsi="宋体"/>
          <w:color w:val="auto"/>
          <w:szCs w:val="21"/>
          <w:highlight w:val="none"/>
        </w:rPr>
        <w:t xml:space="preserve">    1、货物质量：</w:t>
      </w:r>
      <w:r>
        <w:rPr>
          <w:rFonts w:hint="eastAsia" w:ascii="宋体" w:hAnsi="宋体"/>
          <w:color w:val="auto"/>
          <w:szCs w:val="21"/>
          <w:highlight w:val="none"/>
          <w:lang w:val="en-US" w:eastAsia="zh-CN"/>
        </w:rPr>
        <w:t>成交</w:t>
      </w:r>
      <w:r>
        <w:rPr>
          <w:rFonts w:hint="eastAsia" w:ascii="宋体" w:hAnsi="宋体"/>
          <w:color w:val="auto"/>
          <w:szCs w:val="21"/>
          <w:highlight w:val="none"/>
        </w:rPr>
        <w:t>人提供的货物必须是全新、原装、合格正品，完全符合国家规定的质量标准和厂方的标准。货物完好，配件齐全。</w:t>
      </w:r>
    </w:p>
    <w:p w14:paraId="610F5816">
      <w:pPr>
        <w:pageBreakBefore w:val="0"/>
        <w:widowControl/>
        <w:kinsoku/>
        <w:overflowPunct/>
        <w:topLinePunct w:val="0"/>
        <w:bidi w:val="0"/>
        <w:snapToGrid/>
        <w:spacing w:line="440" w:lineRule="exact"/>
        <w:jc w:val="left"/>
        <w:textAlignment w:val="auto"/>
        <w:rPr>
          <w:rFonts w:ascii="宋体" w:hAnsi="宋体"/>
          <w:color w:val="auto"/>
          <w:szCs w:val="21"/>
          <w:highlight w:val="none"/>
        </w:rPr>
      </w:pPr>
      <w:r>
        <w:rPr>
          <w:rFonts w:hint="eastAsia" w:ascii="宋体" w:hAnsi="宋体"/>
          <w:color w:val="auto"/>
          <w:szCs w:val="21"/>
          <w:highlight w:val="none"/>
        </w:rPr>
        <w:t xml:space="preserve">    2、保修及售后服务：依据商品的保修条款及售后服务条款，提供原厂质保，质保期按照国家规定，且不低于所供品牌向用户承诺的质保期限，</w:t>
      </w:r>
      <w:r>
        <w:rPr>
          <w:rFonts w:hint="eastAsia" w:ascii="宋体" w:hAnsi="宋体"/>
          <w:color w:val="auto"/>
          <w:szCs w:val="21"/>
          <w:highlight w:val="none"/>
          <w:lang w:eastAsia="zh-CN"/>
        </w:rPr>
        <w:t>谈判文件</w:t>
      </w:r>
      <w:r>
        <w:rPr>
          <w:rFonts w:hint="eastAsia" w:ascii="宋体" w:hAnsi="宋体"/>
          <w:color w:val="auto"/>
          <w:szCs w:val="21"/>
          <w:highlight w:val="none"/>
        </w:rPr>
        <w:t>另有约定的从其约定。质保期从货物验收合格后算起。</w:t>
      </w:r>
    </w:p>
    <w:p w14:paraId="09FB1C0F">
      <w:pPr>
        <w:pStyle w:val="3"/>
        <w:pageBreakBefore w:val="0"/>
        <w:tabs>
          <w:tab w:val="left" w:pos="2730"/>
        </w:tabs>
        <w:kinsoku/>
        <w:overflowPunct/>
        <w:topLinePunct w:val="0"/>
        <w:bidi w:val="0"/>
        <w:snapToGrid/>
        <w:spacing w:line="440" w:lineRule="exact"/>
        <w:ind w:firstLine="472" w:firstLineChars="196"/>
        <w:textAlignment w:val="auto"/>
        <w:rPr>
          <w:color w:val="auto"/>
          <w:highlight w:val="none"/>
        </w:rPr>
      </w:pPr>
      <w:r>
        <w:rPr>
          <w:rFonts w:hint="eastAsia"/>
          <w:color w:val="auto"/>
          <w:highlight w:val="none"/>
        </w:rPr>
        <w:t xml:space="preserve">五、验收     </w:t>
      </w:r>
    </w:p>
    <w:p w14:paraId="55F30AEF">
      <w:pPr>
        <w:pageBreakBefore w:val="0"/>
        <w:widowControl/>
        <w:kinsoku/>
        <w:overflowPunct/>
        <w:topLinePunct w:val="0"/>
        <w:bidi w:val="0"/>
        <w:snapToGrid/>
        <w:spacing w:line="440" w:lineRule="exact"/>
        <w:ind w:firstLine="405"/>
        <w:jc w:val="left"/>
        <w:textAlignment w:val="auto"/>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成交</w:t>
      </w:r>
      <w:r>
        <w:rPr>
          <w:rFonts w:hint="eastAsia" w:ascii="宋体" w:hAnsi="宋体"/>
          <w:color w:val="auto"/>
          <w:szCs w:val="21"/>
          <w:highlight w:val="none"/>
        </w:rPr>
        <w:t>人和采购人双方共同实施验收工作，结果和验收报告经双方确认后生</w:t>
      </w:r>
      <w:r>
        <w:rPr>
          <w:rFonts w:hint="eastAsia" w:ascii="宋体" w:hAnsi="宋体"/>
          <w:color w:val="auto"/>
          <w:szCs w:val="21"/>
          <w:highlight w:val="none"/>
          <w:lang w:eastAsia="zh-CN"/>
        </w:rPr>
        <w:t>效。</w:t>
      </w:r>
      <w:bookmarkStart w:id="5" w:name="_GoBack"/>
      <w:bookmarkEnd w:id="5"/>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71DE7">
    <w:pPr>
      <w:pStyle w:val="5"/>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330B8E">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864O8kBAACZ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rzrg7yQEAAJkDAAAOAAAAAAAAAAEAIAAAAB4BAABkcnMvZTJvRG9j&#10;LnhtbFBLBQYAAAAABgAGAFkBAABZBQAAAAA=&#10;">
              <v:fill on="f" focussize="0,0"/>
              <v:stroke on="f"/>
              <v:imagedata o:title=""/>
              <o:lock v:ext="edit" aspectratio="f"/>
              <v:textbox inset="0mm,0mm,0mm,0mm" style="mso-fit-shape-to-text:t;">
                <w:txbxContent>
                  <w:p w14:paraId="30330B8E">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0D55C">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50804"/>
    <w:rsid w:val="64050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paragraph" w:styleId="3">
    <w:name w:val="heading 3"/>
    <w:basedOn w:val="1"/>
    <w:next w:val="1"/>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2024-11-26T08:24:00Z</dcterms:created>
  <dc:creator>NTKO</dc:creator>
  <cp:lastModifiedBy>NTKO</cp:lastModifiedBy>
  <dcterms:modified xsi:type="dcterms:W3CDTF">2024-11-26T08:25:15Z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10719591EFB74837BCCBC28D3EA1DC44_11</vt:lpwstr>
  </property>
</Properties>
</file>